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embeddings/_____Microsoft_Excel13.xlsx" ContentType="application/vnd.openxmlformats-officedocument.spreadsheetml.sheet"/>
  <Override PartName="/word/embeddings/_____Microsoft_Excel7.xlsx" ContentType="application/vnd.openxmlformats-officedocument.spreadsheetml.sheet"/>
  <Override PartName="/word/embeddings/_____Microsoft_Excel2.xlsx" ContentType="application/vnd.openxmlformats-officedocument.spreadsheetml.sheet"/>
  <Override PartName="/word/embeddings/_____Microsoft_Excel11.xlsx" ContentType="application/vnd.openxmlformats-officedocument.spreadsheetml.sheet"/>
  <Override PartName="/word/embeddings/_____Microsoft_Excel12.xlsx" ContentType="application/vnd.openxmlformats-officedocument.spreadsheetml.sheet"/>
  <Override PartName="/word/embeddings/_____Microsoft_Excel10.xlsx" ContentType="application/vnd.openxmlformats-officedocument.spreadsheetml.sheet"/>
  <Override PartName="/word/embeddings/_____Microsoft_Excel6.xlsx" ContentType="application/vnd.openxmlformats-officedocument.spreadsheetml.sheet"/>
  <Override PartName="/word/embeddings/_____Microsoft_Excel5.xlsx" ContentType="application/vnd.openxmlformats-officedocument.spreadsheetml.sheet"/>
  <Override PartName="/word/embeddings/_____Microsoft_Excel9.xlsx" ContentType="application/vnd.openxmlformats-officedocument.spreadsheetml.sheet"/>
  <Override PartName="/word/embeddings/_____Microsoft_Excel8.xlsx" ContentType="application/vnd.openxmlformats-officedocument.spreadsheetml.sheet"/>
  <Override PartName="/word/embeddings/_____Microsoft_Excel4.xlsx" ContentType="application/vnd.openxmlformats-officedocument.spreadsheetml.sheet"/>
  <Override PartName="/word/embeddings/_____Microsoft_Excel1.xlsx" ContentType="application/vnd.openxmlformats-officedocument.spreadsheetml.sheet"/>
  <Override PartName="/word/embeddings/_____Microsoft_Excel14.xlsx" ContentType="application/vnd.openxmlformats-officedocument.spreadsheetml.sheet"/>
  <Override PartName="/word/embeddings/_____Microsoft_Excel3.xlsx" ContentType="application/vnd.openxmlformats-officedocument.spreadsheetml.sheet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2.jpeg" ContentType="image/jpeg"/>
  <Override PartName="/word/media/image1.jpeg" ContentType="image/jpeg"/>
  <Override PartName="/word/document.xml" ContentType="application/vnd.openxmlformats-officedocument.wordprocessingml.document.main+xml"/>
  <Override PartName="/word/charts/_rels/chart11.xml.rels" ContentType="application/vnd.openxmlformats-package.relationships+xml"/>
  <Override PartName="/word/charts/_rels/chart14.xml.rels" ContentType="application/vnd.openxmlformats-package.relationships+xml"/>
  <Override PartName="/word/charts/_rels/chart4.xml.rels" ContentType="application/vnd.openxmlformats-package.relationships+xml"/>
  <Override PartName="/word/charts/_rels/chart13.xml.rels" ContentType="application/vnd.openxmlformats-package.relationships+xml"/>
  <Override PartName="/word/charts/_rels/chart3.xml.rels" ContentType="application/vnd.openxmlformats-package.relationships+xml"/>
  <Override PartName="/word/charts/_rels/chart5.xml.rels" ContentType="application/vnd.openxmlformats-package.relationships+xml"/>
  <Override PartName="/word/charts/_rels/chart6.xml.rels" ContentType="application/vnd.openxmlformats-package.relationships+xml"/>
  <Override PartName="/word/charts/_rels/chart7.xml.rels" ContentType="application/vnd.openxmlformats-package.relationships+xml"/>
  <Override PartName="/word/charts/_rels/chart1.xml.rels" ContentType="application/vnd.openxmlformats-package.relationships+xml"/>
  <Override PartName="/word/charts/_rels/chart8.xml.rels" ContentType="application/vnd.openxmlformats-package.relationships+xml"/>
  <Override PartName="/word/charts/_rels/chart12.xml.rels" ContentType="application/vnd.openxmlformats-package.relationships+xml"/>
  <Override PartName="/word/charts/_rels/chart2.xml.rels" ContentType="application/vnd.openxmlformats-package.relationships+xml"/>
  <Override PartName="/word/charts/_rels/chart9.xml.rels" ContentType="application/vnd.openxmlformats-package.relationships+xml"/>
  <Override PartName="/word/charts/_rels/chart10.xml.rels" ContentType="application/vnd.openxmlformats-package.relationships+xml"/>
  <Override PartName="/word/charts/chart14.xml" ContentType="application/vnd.openxmlformats-officedocument.drawingml.chart+xml"/>
  <Override PartName="/word/charts/chart13.xml" ContentType="application/vnd.openxmlformats-officedocument.drawingml.chart+xml"/>
  <Override PartName="/word/charts/chart12.xml" ContentType="application/vnd.openxmlformats-officedocument.drawingml.chart+xml"/>
  <Override PartName="/word/charts/chart11.xml" ContentType="application/vnd.openxmlformats-officedocument.drawingml.chart+xml"/>
  <Override PartName="/word/charts/chart4.xml" ContentType="application/vnd.openxmlformats-officedocument.drawingml.chart+xml"/>
  <Override PartName="/word/charts/chart3.xml" ContentType="application/vnd.openxmlformats-officedocument.drawingml.chart+xml"/>
  <Override PartName="/word/charts/chart2.xml" ContentType="application/vnd.openxmlformats-officedocument.drawingml.chart+xml"/>
  <Override PartName="/word/charts/chart1.xml" ContentType="application/vnd.openxmlformats-officedocument.drawingml.chart+xml"/>
  <Override PartName="/word/charts/chart5.xml" ContentType="application/vnd.openxmlformats-officedocument.drawingml.chart+xml"/>
  <Override PartName="/word/charts/chart10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right="-284" w:hanging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Анализ</w:t>
      </w:r>
    </w:p>
    <w:p>
      <w:pPr>
        <w:pStyle w:val="Normal"/>
        <w:ind w:right="-284" w:hanging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состояния детского дорожно-транспортного травматизма</w:t>
      </w:r>
    </w:p>
    <w:p>
      <w:pPr>
        <w:pStyle w:val="Normal"/>
        <w:ind w:right="-284" w:hanging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на территории Свердловской области за три месяца 2020 года</w:t>
      </w:r>
    </w:p>
    <w:p>
      <w:pPr>
        <w:pStyle w:val="Normal"/>
        <w:suppressAutoHyphens w:val="true"/>
        <w:ind w:firstLine="709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uppressAutoHyphens w:val="true"/>
        <w:ind w:firstLine="709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drawing>
          <wp:inline distT="0" distB="0" distL="0" distR="0">
            <wp:extent cx="2600325" cy="2181225"/>
            <wp:effectExtent l="0" t="0" r="0" b="0"/>
            <wp:docPr id="1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"/>
              </a:graphicData>
            </a:graphic>
          </wp:inline>
        </w:drawing>
      </w:r>
    </w:p>
    <w:p>
      <w:pPr>
        <w:pStyle w:val="Normal"/>
        <w:suppressAutoHyphens w:val="true"/>
        <w:ind w:right="-1" w:firstLine="709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На территории Свердловской области за три месяца 2020 г. </w:t>
      </w:r>
      <w:r>
        <w:rPr>
          <w:sz w:val="28"/>
          <w:szCs w:val="28"/>
        </w:rPr>
        <w:t xml:space="preserve">зарегистрировано 59 </w:t>
        <w:br/>
        <w:t>(69; -14,5%) ДТП с участием детей, в которых 71 (74; -4,1%) ребенок получил травмы различной степени тяжести.</w:t>
      </w:r>
    </w:p>
    <w:p>
      <w:pPr>
        <w:pStyle w:val="Normal"/>
        <w:suppressAutoHyphens w:val="true"/>
        <w:ind w:right="-1" w:firstLine="709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>Дорожно-транспортные происшествия, в результате которых пострадали дети, составили 10% от общего количества учетных ДТП.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10 муниципальных образованиях Свердловской области отмечается рост аварийности с участием несовершеннолетних на 100%, при этом в 9 из них, происшествий в прошлом году не было зарегистрировано: Нижние Серги 4 ДТП, Каменск -Уральский 3 ДТП, в Ирбите, Новой Ляле, Красноуфимске по 2 ДТП, в Байкалово, Березовском, Верхней Салде, Тавде, Заречном по 1 ДТП.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/>
        <w:drawing>
          <wp:inline distT="0" distB="0" distL="0" distR="0">
            <wp:extent cx="6172200" cy="3524250"/>
            <wp:effectExtent l="0" t="0" r="0" b="0"/>
            <wp:docPr id="2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"/>
              </a:graphicData>
            </a:graphic>
          </wp:inline>
        </w:drawing>
      </w:r>
    </w:p>
    <w:p>
      <w:pPr>
        <w:pStyle w:val="Normal"/>
        <w:ind w:firstLine="72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</w:r>
    </w:p>
    <w:p>
      <w:pPr>
        <w:pStyle w:val="Normal"/>
        <w:ind w:firstLine="72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45% (32) пострадавших в ДТП детей приходится на среднее школьное звено и 30% (21) на дошкольный возраст, при этом большая часть из них пострадала в качестве пассажиров транспортных средств. В четырнадцати случаях ДТП</w:t>
      </w:r>
      <w:bookmarkStart w:id="0" w:name="_GoBack"/>
      <w:bookmarkEnd w:id="0"/>
      <w:r>
        <w:rPr>
          <w:color w:val="000000" w:themeColor="text1"/>
          <w:sz w:val="28"/>
          <w:szCs w:val="28"/>
        </w:rPr>
        <w:t xml:space="preserve"> произошли по причине нарушения ПДД РФ водителем.</w:t>
      </w:r>
    </w:p>
    <w:p>
      <w:pPr>
        <w:pStyle w:val="Normal"/>
        <w:ind w:firstLine="72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</w:r>
    </w:p>
    <w:p>
      <w:pPr>
        <w:pStyle w:val="Normal"/>
        <w:ind w:left="-709" w:firstLine="720"/>
        <w:jc w:val="both"/>
        <w:rPr>
          <w:color w:val="000000" w:themeColor="text1"/>
          <w:sz w:val="28"/>
          <w:szCs w:val="28"/>
        </w:rPr>
      </w:pPr>
      <w:r>
        <w:rPr/>
        <w:drawing>
          <wp:inline distT="0" distB="0" distL="0" distR="0">
            <wp:extent cx="2981325" cy="2505075"/>
            <wp:effectExtent l="0" t="0" r="0" b="0"/>
            <wp:docPr id="3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  <w:r>
        <w:rPr/>
        <w:drawing>
          <wp:inline distT="0" distB="0" distL="0" distR="0">
            <wp:extent cx="2933700" cy="2505075"/>
            <wp:effectExtent l="0" t="0" r="0" b="0"/>
            <wp:docPr id="4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>
      <w:pPr>
        <w:pStyle w:val="Normal"/>
        <w:ind w:firstLine="72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</w:r>
    </w:p>
    <w:p>
      <w:pPr>
        <w:pStyle w:val="Normal"/>
        <w:ind w:firstLine="72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На 9% (50) произошло снижение количества числа ДТП по причине нарушения ПДД РФ водителями автотранспортных средств, однако количество раненых в них детей увеличилось на 3,3% (62).</w:t>
      </w:r>
    </w:p>
    <w:p>
      <w:pPr>
        <w:pStyle w:val="Normal"/>
        <w:ind w:firstLine="720"/>
        <w:jc w:val="both"/>
        <w:rPr>
          <w:color w:val="000000" w:themeColor="text1"/>
          <w:sz w:val="28"/>
          <w:szCs w:val="28"/>
        </w:rPr>
      </w:pPr>
      <w:r>
        <w:rPr/>
        <w:drawing>
          <wp:inline distT="0" distB="0" distL="0" distR="0">
            <wp:extent cx="4886325" cy="2850515"/>
            <wp:effectExtent l="0" t="0" r="0" b="0"/>
            <wp:docPr id="5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>
      <w:pPr>
        <w:pStyle w:val="Normal"/>
        <w:ind w:firstLine="72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</w:r>
    </w:p>
    <w:p>
      <w:pPr>
        <w:pStyle w:val="Normal"/>
        <w:ind w:firstLine="72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71% ДТП (42) произошли при неблагоприятных метеорологических условиях (пасмурно, снегопад, метель). Данный фактор косвенно мог повлиять на возникновение дорожных происшествий, в связи с тем, что при ненастной погоде ухудшается видимость, тормозной и остановочный путь транспортного средства увеличивается.</w:t>
      </w:r>
    </w:p>
    <w:p>
      <w:pPr>
        <w:pStyle w:val="Normal"/>
        <w:jc w:val="both"/>
        <w:rPr>
          <w:color w:val="000000" w:themeColor="text1"/>
          <w:sz w:val="28"/>
          <w:szCs w:val="28"/>
        </w:rPr>
      </w:pPr>
      <w:r>
        <w:rPr/>
        <w:drawing>
          <wp:inline distT="0" distB="0" distL="0" distR="0">
            <wp:extent cx="6143625" cy="1876425"/>
            <wp:effectExtent l="0" t="0" r="0" b="0"/>
            <wp:docPr id="6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65 % (38) происшествий с участием несовершеннолетних произошли в период с 12 ч.00 мин. до 21 ч. 00 мин., такая тенденция связана с активным пребыванием детей в это время на улице и интенсивностью транспорта. Самый пик аварий происходит с 8 до 9 ч. 00 мин. (8 ДТП) и с 18 до 19 ч. 00 мин. (9 ДТП).</w:t>
      </w:r>
    </w:p>
    <w:p>
      <w:pPr>
        <w:pStyle w:val="Normal"/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</w:r>
    </w:p>
    <w:p>
      <w:pPr>
        <w:pStyle w:val="Normal"/>
        <w:jc w:val="both"/>
        <w:rPr>
          <w:color w:val="000000" w:themeColor="text1"/>
          <w:sz w:val="28"/>
          <w:szCs w:val="28"/>
        </w:rPr>
      </w:pPr>
      <w:r>
        <w:rPr/>
        <w:drawing>
          <wp:inline distT="0" distB="0" distL="0" distR="0">
            <wp:extent cx="6096000" cy="2849880"/>
            <wp:effectExtent l="0" t="0" r="0" b="0"/>
            <wp:docPr id="7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>
      <w:pPr>
        <w:pStyle w:val="Normal"/>
        <w:ind w:firstLine="72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По категориям участников дорожного движения показатели распределились следующим образом: </w:t>
      </w:r>
    </w:p>
    <w:p>
      <w:pPr>
        <w:pStyle w:val="Normal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С участием </w:t>
      </w:r>
      <w:r>
        <w:rPr>
          <w:b/>
          <w:i/>
          <w:color w:val="000000" w:themeColor="text1"/>
          <w:sz w:val="28"/>
          <w:szCs w:val="28"/>
        </w:rPr>
        <w:t>детей - пассажиров</w:t>
      </w:r>
      <w:r>
        <w:rPr>
          <w:sz w:val="28"/>
          <w:szCs w:val="28"/>
        </w:rPr>
        <w:t xml:space="preserve"> зарегистрировано 37 (уровень АППГ) ДТП, в которых пострадали 48 (42;+14,3%) несовершеннолетних. Из них в возрасте до 12 лет травмированы 34 ребенка (35; </w:t>
        <w:br/>
        <w:t>-5,6%). Из-за нарушения водителями правил перевозки детей пострадали 4 ребенка (5; -20%).</w:t>
      </w:r>
    </w:p>
    <w:p>
      <w:pPr>
        <w:pStyle w:val="Normal"/>
        <w:ind w:firstLine="72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Доля ДТП с участием детей - пассажиров от общего показателя аварийности с участием детей составила 62%.</w:t>
      </w:r>
    </w:p>
    <w:p>
      <w:pPr>
        <w:pStyle w:val="Normal"/>
        <w:ind w:firstLine="72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drawing>
          <wp:anchor behindDoc="0" distT="0" distB="6985" distL="0" distR="123190" simplePos="0" locked="0" layoutInCell="1" allowOverlap="1" relativeHeight="3">
            <wp:simplePos x="0" y="0"/>
            <wp:positionH relativeFrom="column">
              <wp:posOffset>-657225</wp:posOffset>
            </wp:positionH>
            <wp:positionV relativeFrom="paragraph">
              <wp:posOffset>154305</wp:posOffset>
            </wp:positionV>
            <wp:extent cx="2066925" cy="1345565"/>
            <wp:effectExtent l="0" t="0" r="0" b="0"/>
            <wp:wrapSquare wrapText="bothSides"/>
            <wp:docPr id="8" name="Рисунок 18" descr="C:\Кравченко\Анализ ДДТТ\Аварийность\2020\Картинки\o7f7wrqd4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18" descr="C:\Кравченко\Анализ ДДТТ\Аварийность\2020\Картинки\o7f7wrqd4i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3455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ind w:firstLine="426"/>
        <w:jc w:val="center"/>
        <w:rPr>
          <w:color w:val="000000" w:themeColor="text1"/>
          <w:sz w:val="28"/>
          <w:szCs w:val="28"/>
        </w:rPr>
      </w:pPr>
      <w:r>
        <w:rPr/>
        <w:drawing>
          <wp:inline distT="0" distB="0" distL="0" distR="0">
            <wp:extent cx="4210050" cy="2076450"/>
            <wp:effectExtent l="0" t="0" r="0" b="0"/>
            <wp:docPr id="9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>
      <w:pPr>
        <w:pStyle w:val="Normal"/>
        <w:ind w:firstLine="72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</w:r>
    </w:p>
    <w:p>
      <w:pPr>
        <w:pStyle w:val="Normal"/>
        <w:ind w:firstLine="720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В каждом девятом случае ребенок получил травмы </w:t>
        <w:br/>
        <w:t xml:space="preserve">по причине нарушения водителем правил перевозки детей (4; -20%): Нижний Тагил - 2, в Екатеринбурге и Нижних Сергах по 1. </w:t>
      </w:r>
      <w:r>
        <w:rPr>
          <w:color w:val="000000" w:themeColor="text1"/>
          <w:sz w:val="28"/>
          <w:szCs w:val="28"/>
        </w:rPr>
        <w:t xml:space="preserve">Трое из них были не пристегнуты штатным ремнем безопасности, еще один ребенок перевозился в детском удерживающем устройстве, несоответствующем росту и весу ребенка. </w:t>
      </w:r>
    </w:p>
    <w:p>
      <w:pPr>
        <w:pStyle w:val="Normal"/>
        <w:ind w:firstLine="72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</w:r>
    </w:p>
    <w:p>
      <w:pPr>
        <w:pStyle w:val="Normal"/>
        <w:ind w:firstLine="720"/>
        <w:jc w:val="both"/>
        <w:rPr>
          <w:color w:val="000000" w:themeColor="text1"/>
          <w:sz w:val="28"/>
          <w:szCs w:val="28"/>
        </w:rPr>
      </w:pPr>
      <w:r>
        <w:rPr/>
        <w:drawing>
          <wp:inline distT="0" distB="0" distL="0" distR="0">
            <wp:extent cx="4752975" cy="2114550"/>
            <wp:effectExtent l="0" t="0" r="0" b="0"/>
            <wp:docPr id="10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>
      <w:pPr>
        <w:pStyle w:val="Normal"/>
        <w:ind w:firstLine="72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</w:r>
    </w:p>
    <w:p>
      <w:pPr>
        <w:pStyle w:val="Normal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 месту расположения детей в транспортном средстве основная доля пострадавших приходится на заднее пассажирское сидение справа (24).</w:t>
      </w:r>
    </w:p>
    <w:p>
      <w:pPr>
        <w:pStyle w:val="Normal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Подавляющее большинство происшествий, в которых пострадали дети-пассажиры- это столкновения транспортных средств (35; +6,1%), количество травмированных в них детей увеличилось на 24,3% (45). Треть столкновений </w:t>
        <w:br/>
        <w:t xml:space="preserve">(11; -31%) связана с выездом на полосу встречного движения, в данных происшествиях травмированы 18 (-18,2%) детей. По причине несоблюдения очередности проезда, пострадали 12 (+71,4%) несовершеннолетних. Из-за несоответствия скорости конкретным условиям травмированы 10 (+25%) детей. </w:t>
      </w:r>
    </w:p>
    <w:p>
      <w:pPr>
        <w:pStyle w:val="Normal"/>
        <w:ind w:firstLine="720"/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</w:r>
    </w:p>
    <w:p>
      <w:pPr>
        <w:pStyle w:val="Normal"/>
        <w:ind w:firstLine="720"/>
        <w:jc w:val="both"/>
        <w:rPr>
          <w:color w:val="FF0000"/>
          <w:sz w:val="28"/>
          <w:szCs w:val="28"/>
        </w:rPr>
      </w:pPr>
      <w:r>
        <w:rPr/>
        <w:drawing>
          <wp:inline distT="0" distB="0" distL="0" distR="0">
            <wp:extent cx="4581525" cy="2009775"/>
            <wp:effectExtent l="0" t="0" r="0" b="0"/>
            <wp:docPr id="11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>
      <w:pPr>
        <w:pStyle w:val="Normal"/>
        <w:ind w:firstLine="720"/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</w:r>
    </w:p>
    <w:p>
      <w:pPr>
        <w:pStyle w:val="Normal"/>
        <w:ind w:firstLine="720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>На автомобильных дорогах, расположенных в черте населенных пунктов, зарегистрировано 41 ДТП (-21,2%), в которых пострадали 46 (-19,3%) детей. На автомобильных дорогах вне населенных пунктов зарегистрировано 18 ДТП (+6%), травмированы 25 (+31,6%) несовершеннолетних. Из них, на дорогах федерального значения зарегистрировано 4 ДТП, в которых пострадали 6 детей. На автомобильных дорогах регионального значения зарегистрировано 15 ДТП (- 21%), в которых 19 (-5%) детей получили травмы различной степени тяжести. На дорогах местного значения зарегистрировано 38 ДТП (- 15,6%), в которых травмированы 43 (-8,5%) ребенка.</w:t>
      </w:r>
    </w:p>
    <w:p>
      <w:pPr>
        <w:pStyle w:val="Normal"/>
        <w:ind w:firstLine="720"/>
        <w:jc w:val="both"/>
        <w:rPr>
          <w:color w:val="FF0000"/>
          <w:sz w:val="28"/>
          <w:szCs w:val="28"/>
        </w:rPr>
      </w:pPr>
      <w:r>
        <w:rPr/>
        <w:drawing>
          <wp:inline distT="0" distB="0" distL="0" distR="0">
            <wp:extent cx="5486400" cy="3200400"/>
            <wp:effectExtent l="0" t="0" r="0" b="0"/>
            <wp:docPr id="12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>
      <w:pPr>
        <w:pStyle w:val="Normal"/>
        <w:ind w:firstLine="720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>С участием</w:t>
      </w:r>
      <w:r>
        <w:rPr>
          <w:b/>
          <w:i/>
          <w:color w:val="000000" w:themeColor="text1"/>
          <w:sz w:val="28"/>
          <w:szCs w:val="28"/>
        </w:rPr>
        <w:t xml:space="preserve"> детей-пешеходов </w:t>
      </w:r>
      <w:r>
        <w:rPr>
          <w:sz w:val="28"/>
          <w:szCs w:val="28"/>
        </w:rPr>
        <w:t>зарегистрировано 22 (31; -29%) ДТП, в которых пострадали 23 (31; -25,8%) несовершеннолетних. От общего показателя аварийности с участием несовершеннолетних доля ДТП с участием детей- пешеходов составила 38%.</w:t>
      </w:r>
    </w:p>
    <w:p>
      <w:pPr>
        <w:pStyle w:val="Normal"/>
        <w:ind w:firstLine="720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На 31% (9) произошло снижение количества ДТП и раненых по собственной неосторожности несовершеннолетних. </w:t>
      </w:r>
    </w:p>
    <w:p>
      <w:pPr>
        <w:pStyle w:val="Normal"/>
        <w:ind w:firstLine="720"/>
        <w:jc w:val="both"/>
        <w:rPr>
          <w:color w:val="FF0000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Каждый второй наезд на ребенка (11 ДТП) совершен на пешеходном переходе. В таких происшествиях травмированы 12 детей (-20%). </w:t>
      </w:r>
      <w:r>
        <w:rPr>
          <w:sz w:val="28"/>
          <w:szCs w:val="28"/>
        </w:rPr>
        <w:t xml:space="preserve">Из них на регулируемых пешеходных переходах количество ДТП и раненых увеличилось на 20 % (5): Екатеринбург 4 ДТП (+65%), Нижний Тагил 1 ДТП (+100%). На нерегулируемых пешеходных переходах количество происшествий уменьшилось на 33,3% (6), раненых на 22% (7): Екатеринбург и Нижний Тагил по 2 ДТП, Полевской и р.п. Пышма по 1 ДТП. </w:t>
      </w:r>
    </w:p>
    <w:p>
      <w:pPr>
        <w:pStyle w:val="Normal"/>
        <w:ind w:left="-567" w:firstLine="720"/>
        <w:jc w:val="center"/>
        <w:rPr>
          <w:color w:val="000000" w:themeColor="text1"/>
          <w:sz w:val="28"/>
          <w:szCs w:val="28"/>
        </w:rPr>
      </w:pPr>
      <w:r>
        <w:rPr/>
        <w:drawing>
          <wp:inline distT="0" distB="0" distL="0" distR="0">
            <wp:extent cx="2924175" cy="2114550"/>
            <wp:effectExtent l="0" t="0" r="0" b="0"/>
            <wp:docPr id="13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  <w:drawing>
          <wp:anchor behindDoc="0" distT="0" distB="0" distL="114300" distR="114300" simplePos="0" locked="0" layoutInCell="1" allowOverlap="1" relativeHeight="2">
            <wp:simplePos x="0" y="0"/>
            <wp:positionH relativeFrom="column">
              <wp:posOffset>5025390</wp:posOffset>
            </wp:positionH>
            <wp:positionV relativeFrom="paragraph">
              <wp:posOffset>74295</wp:posOffset>
            </wp:positionV>
            <wp:extent cx="1333500" cy="1127760"/>
            <wp:effectExtent l="0" t="0" r="0" b="0"/>
            <wp:wrapSquare wrapText="bothSides"/>
            <wp:docPr id="14" name="Рисунок 4" descr="C:\Кравченко\Анализ ДДТТ\Аварийность\2020\Картинки\419d75ab8a1018d5f1a1a201864f61a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4" descr="C:\Кравченко\Анализ ДДТТ\Аварийность\2020\Картинки\419d75ab8a1018d5f1a1a201864f61a0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127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ind w:firstLine="72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На 67% (3) снизилось количество происшествий с детьми- пешеходами в темное время суток, когда одним из сопутствующих факторов ДТП стало отсутствие у ребенка на верхней одежде или рюкзаке световозвращающих элементов.</w:t>
      </w:r>
    </w:p>
    <w:p>
      <w:pPr>
        <w:pStyle w:val="Normal"/>
        <w:ind w:firstLine="567"/>
        <w:jc w:val="both"/>
        <w:rPr>
          <w:color w:val="FF0000"/>
          <w:sz w:val="28"/>
          <w:szCs w:val="28"/>
        </w:rPr>
      </w:pPr>
      <w:r>
        <w:rPr>
          <w:color w:val="000000" w:themeColor="text1"/>
          <w:sz w:val="28"/>
          <w:szCs w:val="28"/>
        </w:rPr>
        <w:t>По результатам проведенного дифференцированного анализа состояния детского дорожно-транспортного травматизма отслеживается снижение основных показателей аварийности: количества ДТП на 14,5%, погибших на 100% и травмированных на 4,1%. Количество ДТП с участием детей- пассажиров осталось на уровне прошлого года, с участием детей-пешеходов снизилось на 29%.</w:t>
      </w:r>
    </w:p>
    <w:p>
      <w:pPr>
        <w:pStyle w:val="Normal"/>
        <w:ind w:firstLine="567"/>
        <w:jc w:val="center"/>
        <w:rPr>
          <w:color w:val="FF0000"/>
          <w:sz w:val="28"/>
          <w:szCs w:val="28"/>
        </w:rPr>
      </w:pPr>
      <w:r>
        <w:rPr/>
        <w:drawing>
          <wp:inline distT="0" distB="0" distL="0" distR="0">
            <wp:extent cx="4581525" cy="2009775"/>
            <wp:effectExtent l="0" t="0" r="0" b="0"/>
            <wp:docPr id="15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>
      <w:pPr>
        <w:pStyle w:val="Normal"/>
        <w:ind w:firstLine="720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Подавляющее большинство происшествий произошло из-за грубых нарушений ПДД РФ водителями транспортных средств (превышение скоростного режима, выезд на полосу встречного движения, несоблюдение правил проезда пешеходных переходов). Вина несовершеннолетних усматривается в 9 ДТП из 59 и составляет 15% от общего количества травмированных детей: Екатеринбург 5 (-17%), в Ирбите, Новой Ляле, Красноуфимске и Качканаре по 1. </w:t>
      </w:r>
      <w:r>
        <w:rPr>
          <w:sz w:val="28"/>
          <w:szCs w:val="28"/>
        </w:rPr>
        <w:t>Основными нарушениями ПДД РФ, допущенными несовершеннолетними, стали переход проезжей части в неустановленном месте (6), неподчинение сигналам регулирования (2), переход проезжей части перед близко движущимся транспортным средством (1).</w:t>
      </w:r>
    </w:p>
    <w:p>
      <w:pPr>
        <w:pStyle w:val="Normal"/>
        <w:ind w:firstLine="720"/>
        <w:jc w:val="center"/>
        <w:rPr>
          <w:color w:val="000000" w:themeColor="text1"/>
          <w:sz w:val="28"/>
          <w:szCs w:val="28"/>
        </w:rPr>
      </w:pPr>
      <w:r>
        <w:rPr/>
        <w:drawing>
          <wp:inline distT="0" distB="0" distL="0" distR="0">
            <wp:extent cx="5581650" cy="2162175"/>
            <wp:effectExtent l="0" t="0" r="0" b="0"/>
            <wp:docPr id="16" name="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>
      <w:pPr>
        <w:pStyle w:val="Normal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>
          <w:i/>
          <w:sz w:val="28"/>
          <w:szCs w:val="28"/>
        </w:rPr>
        <w:t>ОГИБДД МО</w:t>
      </w:r>
      <w:r>
        <w:rPr>
          <w:i/>
          <w:sz w:val="28"/>
          <w:szCs w:val="28"/>
        </w:rPr>
        <w:t xml:space="preserve"> МВД России «</w:t>
      </w:r>
      <w:r>
        <w:rPr>
          <w:i/>
          <w:sz w:val="28"/>
          <w:szCs w:val="28"/>
        </w:rPr>
        <w:t>Ивдельский»</w:t>
      </w:r>
    </w:p>
    <w:sectPr>
      <w:type w:val="nextPage"/>
      <w:pgSz w:w="11906" w:h="16838"/>
      <w:pgMar w:left="1701" w:right="566" w:header="0" w:top="1134" w:footer="0" w:bottom="993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swiss"/>
    <w:pitch w:val="default"/>
  </w:font>
  <w:font w:name="Times New Roman">
    <w:charset w:val="01"/>
    <w:family w:val="swiss"/>
    <w:pitch w:val="default"/>
  </w:font>
  <w:font w:name="Segoe UI">
    <w:charset w:val="01"/>
    <w:family w:val="swiss"/>
    <w:pitch w:val="default"/>
  </w:font>
  <w:font w:name="PT Sans">
    <w:charset w:val="01"/>
    <w:family w:val="swiss"/>
    <w:pitch w:val="default"/>
  </w:font>
  <w:font w:name="SchoolBook">
    <w:charset w:val="01"/>
    <w:family w:val="swiss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bf785c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Основной текст Знак"/>
    <w:basedOn w:val="DefaultParagraphFont"/>
    <w:link w:val="a4"/>
    <w:qFormat/>
    <w:rsid w:val="00ed32fc"/>
    <w:rPr>
      <w:rFonts w:ascii="Times New Roman" w:hAnsi="Times New Roman" w:eastAsia="Times New Roman" w:cs="Times New Roman"/>
      <w:b/>
      <w:bCs/>
      <w:i/>
      <w:iCs/>
      <w:sz w:val="26"/>
      <w:szCs w:val="26"/>
      <w:lang w:eastAsia="ru-RU"/>
    </w:rPr>
  </w:style>
  <w:style w:type="character" w:styleId="Style15" w:customStyle="1">
    <w:name w:val="Текст выноски Знак"/>
    <w:basedOn w:val="DefaultParagraphFont"/>
    <w:link w:val="a6"/>
    <w:uiPriority w:val="99"/>
    <w:semiHidden/>
    <w:qFormat/>
    <w:rsid w:val="00627155"/>
    <w:rPr>
      <w:rFonts w:ascii="Segoe UI" w:hAnsi="Segoe UI" w:eastAsia="Times New Roman" w:cs="Segoe UI"/>
      <w:sz w:val="18"/>
      <w:szCs w:val="18"/>
      <w:lang w:eastAsia="ru-RU"/>
    </w:rPr>
  </w:style>
  <w:style w:type="character" w:styleId="Style16" w:customStyle="1">
    <w:name w:val="Текст сноски Знак"/>
    <w:basedOn w:val="DefaultParagraphFont"/>
    <w:link w:val="a8"/>
    <w:uiPriority w:val="99"/>
    <w:semiHidden/>
    <w:qFormat/>
    <w:rsid w:val="00874a55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Style17">
    <w:name w:val="Привязка сноски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874a55"/>
    <w:rPr>
      <w:vertAlign w:val="superscript"/>
    </w:rPr>
  </w:style>
  <w:style w:type="character" w:styleId="ListLabel1">
    <w:name w:val="ListLabel 1"/>
    <w:qFormat/>
    <w:rPr>
      <w:color w:val="auto"/>
      <w:sz w:val="28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PT Sans" w:hAnsi="PT Sans" w:eastAsia="Tahoma" w:cs="Noto Sans Devanagari"/>
      <w:sz w:val="28"/>
      <w:szCs w:val="28"/>
    </w:rPr>
  </w:style>
  <w:style w:type="paragraph" w:styleId="Style19">
    <w:name w:val="Body Text"/>
    <w:basedOn w:val="Normal"/>
    <w:link w:val="a5"/>
    <w:rsid w:val="00ed32fc"/>
    <w:pPr>
      <w:jc w:val="center"/>
    </w:pPr>
    <w:rPr>
      <w:b/>
      <w:bCs/>
      <w:i/>
      <w:iCs/>
      <w:sz w:val="26"/>
      <w:szCs w:val="26"/>
    </w:rPr>
  </w:style>
  <w:style w:type="paragraph" w:styleId="Style20">
    <w:name w:val="List"/>
    <w:basedOn w:val="Style19"/>
    <w:pPr/>
    <w:rPr>
      <w:rFonts w:ascii="PT Sans" w:hAnsi="PT Sans"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ascii="PT Sans" w:hAnsi="PT Sans" w:cs="Noto Sans Devanagari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ascii="PT Sans" w:hAnsi="PT Sans" w:cs="Noto Sans Devanagari"/>
    </w:rPr>
  </w:style>
  <w:style w:type="paragraph" w:styleId="NoSpacing">
    <w:name w:val="No Spacing"/>
    <w:uiPriority w:val="1"/>
    <w:qFormat/>
    <w:rsid w:val="00bf785c"/>
    <w:pPr>
      <w:widowControl/>
      <w:bidi w:val="0"/>
      <w:spacing w:lineRule="auto" w:line="240" w:before="0" w:after="0"/>
      <w:jc w:val="left"/>
    </w:pPr>
    <w:rPr>
      <w:rFonts w:ascii="SchoolBook" w:hAnsi="SchoolBook" w:eastAsia="Calibri" w:cs="Times New Roman" w:eastAsiaTheme="minorHAnsi"/>
      <w:color w:val="auto"/>
      <w:kern w:val="0"/>
      <w:sz w:val="28"/>
      <w:szCs w:val="28"/>
      <w:lang w:val="ru-RU" w:eastAsia="en-US" w:bidi="ar-SA"/>
    </w:rPr>
  </w:style>
  <w:style w:type="paragraph" w:styleId="Default" w:customStyle="1">
    <w:name w:val="Default"/>
    <w:qFormat/>
    <w:rsid w:val="00ed32fc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eastAsia="ru-RU" w:val="ru-RU" w:bidi="ar-SA"/>
    </w:rPr>
  </w:style>
  <w:style w:type="paragraph" w:styleId="BalloonText">
    <w:name w:val="Balloon Text"/>
    <w:basedOn w:val="Normal"/>
    <w:link w:val="a7"/>
    <w:uiPriority w:val="99"/>
    <w:semiHidden/>
    <w:unhideWhenUsed/>
    <w:qFormat/>
    <w:rsid w:val="00627155"/>
    <w:pPr/>
    <w:rPr>
      <w:rFonts w:ascii="Segoe UI" w:hAnsi="Segoe UI" w:cs="Segoe UI"/>
      <w:sz w:val="18"/>
      <w:szCs w:val="18"/>
    </w:rPr>
  </w:style>
  <w:style w:type="paragraph" w:styleId="Style23">
    <w:name w:val="Footnote Text"/>
    <w:basedOn w:val="Normal"/>
    <w:link w:val="a9"/>
    <w:uiPriority w:val="99"/>
    <w:semiHidden/>
    <w:unhideWhenUsed/>
    <w:rsid w:val="00874a55"/>
    <w:pPr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7a6682"/>
    <w:pPr>
      <w:spacing w:before="0" w:after="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b">
    <w:name w:val="Table Grid"/>
    <w:basedOn w:val="a1"/>
    <w:uiPriority w:val="39"/>
    <w:rsid w:val="003336f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chart" Target="charts/chart1.xml"/><Relationship Id="rId3" Type="http://schemas.openxmlformats.org/officeDocument/2006/relationships/chart" Target="charts/chart2.xml"/><Relationship Id="rId4" Type="http://schemas.openxmlformats.org/officeDocument/2006/relationships/chart" Target="charts/chart3.xml"/><Relationship Id="rId5" Type="http://schemas.openxmlformats.org/officeDocument/2006/relationships/chart" Target="charts/chart4.xml"/><Relationship Id="rId6" Type="http://schemas.openxmlformats.org/officeDocument/2006/relationships/chart" Target="charts/chart5.xml"/><Relationship Id="rId7" Type="http://schemas.openxmlformats.org/officeDocument/2006/relationships/chart" Target="charts/chart6.xml"/><Relationship Id="rId8" Type="http://schemas.openxmlformats.org/officeDocument/2006/relationships/chart" Target="charts/chart7.xml"/><Relationship Id="rId9" Type="http://schemas.openxmlformats.org/officeDocument/2006/relationships/image" Target="media/image1.jpeg"/><Relationship Id="rId10" Type="http://schemas.openxmlformats.org/officeDocument/2006/relationships/chart" Target="charts/chart8.xml"/><Relationship Id="rId11" Type="http://schemas.openxmlformats.org/officeDocument/2006/relationships/chart" Target="charts/chart9.xml"/><Relationship Id="rId12" Type="http://schemas.openxmlformats.org/officeDocument/2006/relationships/chart" Target="charts/chart10.xml"/><Relationship Id="rId13" Type="http://schemas.openxmlformats.org/officeDocument/2006/relationships/chart" Target="charts/chart11.xml"/><Relationship Id="rId14" Type="http://schemas.openxmlformats.org/officeDocument/2006/relationships/chart" Target="charts/chart12.xml"/><Relationship Id="rId15" Type="http://schemas.openxmlformats.org/officeDocument/2006/relationships/image" Target="media/image2.jpeg"/><Relationship Id="rId16" Type="http://schemas.openxmlformats.org/officeDocument/2006/relationships/chart" Target="charts/chart13.xml"/><Relationship Id="rId17" Type="http://schemas.openxmlformats.org/officeDocument/2006/relationships/chart" Target="charts/chart14.xml"/><Relationship Id="rId18" Type="http://schemas.openxmlformats.org/officeDocument/2006/relationships/fontTable" Target="fontTable.xml"/><Relationship Id="rId19" Type="http://schemas.openxmlformats.org/officeDocument/2006/relationships/settings" Target="settings.xml"/><Relationship Id="rId20" Type="http://schemas.openxmlformats.org/officeDocument/2006/relationships/theme" Target="theme/theme1.xml"/><Relationship Id="rId21" Type="http://schemas.openxmlformats.org/officeDocument/2006/relationships/customXml" Target="../customXml/item1.xml"/>
</Relationships>
</file>

<file path=word/charts/_rels/chart1.xml.rels><?xml version="1.0" encoding="UTF-8"?>
<Relationships xmlns="http://schemas.openxmlformats.org/package/2006/relationships"><Relationship Id="rId1" Type="http://schemas.openxmlformats.org/officeDocument/2006/relationships/package" Target="../embeddings/_____Microsoft_Excel1.xlsx"/>
</Relationships>
</file>

<file path=word/charts/_rels/chart2.xml.rels><?xml version="1.0" encoding="UTF-8"?>
<Relationships xmlns="http://schemas.openxmlformats.org/package/2006/relationships"><Relationship Id="rId1" Type="http://schemas.openxmlformats.org/officeDocument/2006/relationships/package" Target="../embeddings/_____Microsoft_Excel2.xlsx"/>
</Relationships>
</file>

<file path=word/charts/_rels/chart3.xml.rels><?xml version="1.0" encoding="UTF-8"?>
<Relationships xmlns="http://schemas.openxmlformats.org/package/2006/relationships"><Relationship Id="rId1" Type="http://schemas.openxmlformats.org/officeDocument/2006/relationships/package" Target="../embeddings/_____Microsoft_Excel3.xlsx"/>
</Relationships>
</file>

<file path=word/charts/_rels/chart4.xml.rels><?xml version="1.0" encoding="UTF-8"?>
<Relationships xmlns="http://schemas.openxmlformats.org/package/2006/relationships"><Relationship Id="rId1" Type="http://schemas.openxmlformats.org/officeDocument/2006/relationships/package" Target="../embeddings/_____Microsoft_Excel4.xlsx"/>
</Relationships>
</file>

<file path=word/charts/_rels/chart5.xml.rels><?xml version="1.0" encoding="UTF-8"?>
<Relationships xmlns="http://schemas.openxmlformats.org/package/2006/relationships"><Relationship Id="rId1" Type="http://schemas.openxmlformats.org/officeDocument/2006/relationships/package" Target="../embeddings/_____Microsoft_Excel5.xlsx"/>
</Relationships>
</file>

<file path=word/charts/_rels/chart6.xml.rels><?xml version="1.0" encoding="UTF-8"?>
<Relationships xmlns="http://schemas.openxmlformats.org/package/2006/relationships"><Relationship Id="rId1" Type="http://schemas.openxmlformats.org/officeDocument/2006/relationships/package" Target="../embeddings/_____Microsoft_Excel6.xlsx"/>
</Relationships>
</file>

<file path=word/charts/_rels/chart7.xml.rels><?xml version="1.0" encoding="UTF-8"?>
<Relationships xmlns="http://schemas.openxmlformats.org/package/2006/relationships"><Relationship Id="rId1" Type="http://schemas.openxmlformats.org/officeDocument/2006/relationships/package" Target="../embeddings/_____Microsoft_Excel7.xlsx"/>
</Relationships>
</file>

<file path=word/charts/_rels/chart8.xml.rels><?xml version="1.0" encoding="UTF-8"?>
<Relationships xmlns="http://schemas.openxmlformats.org/package/2006/relationships"><Relationship Id="rId1" Type="http://schemas.openxmlformats.org/officeDocument/2006/relationships/package" Target="../embeddings/_____Microsoft_Excel8.xlsx"/>
</Relationships>
</file>

<file path=word/charts/_rels/chart9.xml.rels><?xml version="1.0" encoding="UTF-8"?>
<Relationships xmlns="http://schemas.openxmlformats.org/package/2006/relationships"><Relationship Id="rId1" Type="http://schemas.openxmlformats.org/officeDocument/2006/relationships/package" Target="../embeddings/_____Microsoft_Excel9.xlsx"/>
</Relationships>
</file>

<file path=word/charts/_rels/chart10.xml.rels><?xml version="1.0" encoding="UTF-8"?>
<Relationships xmlns="http://schemas.openxmlformats.org/package/2006/relationships"><Relationship Id="rId1" Type="http://schemas.openxmlformats.org/officeDocument/2006/relationships/package" Target="../embeddings/_____Microsoft_Excel10.xlsx"/>
</Relationships>
</file>

<file path=word/charts/_rels/chart11.xml.rels><?xml version="1.0" encoding="UTF-8"?>
<Relationships xmlns="http://schemas.openxmlformats.org/package/2006/relationships"><Relationship Id="rId1" Type="http://schemas.openxmlformats.org/officeDocument/2006/relationships/package" Target="../embeddings/_____Microsoft_Excel11.xlsx"/>
</Relationships>
</file>

<file path=word/charts/_rels/chart12.xml.rels><?xml version="1.0" encoding="UTF-8"?>
<Relationships xmlns="http://schemas.openxmlformats.org/package/2006/relationships"><Relationship Id="rId1" Type="http://schemas.openxmlformats.org/officeDocument/2006/relationships/package" Target="../embeddings/_____Microsoft_Excel12.xlsx"/>
</Relationships>
</file>

<file path=word/charts/_rels/chart13.xml.rels><?xml version="1.0" encoding="UTF-8"?>
<Relationships xmlns="http://schemas.openxmlformats.org/package/2006/relationships"><Relationship Id="rId1" Type="http://schemas.openxmlformats.org/officeDocument/2006/relationships/package" Target="../embeddings/_____Microsoft_Excel13.xlsx"/>
</Relationships>
</file>

<file path=word/charts/_rels/chart14.xml.rels><?xml version="1.0" encoding="UTF-8"?>
<Relationships xmlns="http://schemas.openxmlformats.org/package/2006/relationships"><Relationship Id="rId1" Type="http://schemas.openxmlformats.org/officeDocument/2006/relationships/package" Target="../embeddings/_____Microsoft_Excel14.xlsx"/>
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view3D>
      <c:rotX val="15"/>
      <c:rotY val="20"/>
      <c:rAngAx val="1"/>
      <c:perspective val="30"/>
    </c:view3D>
    <c:floor>
      <c:spPr>
        <a:noFill/>
        <a:ln w="6480">
          <a:noFill/>
        </a:ln>
      </c:spPr>
    </c:floor>
    <c:sideWall>
      <c:spPr>
        <a:noFill/>
        <a:ln w="6480">
          <a:noFill/>
        </a:ln>
      </c:spPr>
    </c:sideWall>
    <c:backWall>
      <c:spPr>
        <a:noFill/>
        <a:ln w="6480">
          <a:noFill/>
        </a:ln>
      </c:spPr>
    </c:backWall>
    <c:plotArea>
      <c:bar3DChart>
        <c:barDir val="col"/>
        <c:grouping val="clustered"/>
        <c:varyColors val="0"/>
        <c:ser>
          <c:idx val="0"/>
          <c:order val="0"/>
          <c:tx>
            <c:strRef>
              <c:f>label 0</c:f>
              <c:strCache>
                <c:ptCount val="1"/>
                <c:pt idx="0">
                  <c:v>2019</c:v>
                </c:pt>
              </c:strCache>
            </c:strRef>
          </c:tx>
          <c:spPr>
            <a:solidFill>
              <a:srgbClr val="5b9bd5"/>
            </a:solidFill>
            <a:ln>
              <a:noFill/>
            </a:ln>
          </c:spPr>
          <c:invertIfNegative val="0"/>
          <c:dLbls>
            <c:numFmt formatCode="General" sourceLinked="1"/>
            <c:showLegendKey val="0"/>
            <c:showVal val="1"/>
            <c:showCatName val="0"/>
            <c:showSerName val="0"/>
            <c:showPercent val="0"/>
            <c:showLeaderLines val="0"/>
          </c:dLbls>
          <c:cat>
            <c:strRef>
              <c:f>categories</c:f>
              <c:strCache>
                <c:ptCount val="3"/>
                <c:pt idx="0">
                  <c:v>ДТП</c:v>
                </c:pt>
                <c:pt idx="1">
                  <c:v>Погибло</c:v>
                </c:pt>
                <c:pt idx="2">
                  <c:v>Ранено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3"/>
                <c:pt idx="0">
                  <c:v>69</c:v>
                </c:pt>
                <c:pt idx="1">
                  <c:v>3</c:v>
                </c:pt>
                <c:pt idx="2">
                  <c:v>74</c:v>
                </c:pt>
              </c:numCache>
            </c:numRef>
          </c:val>
        </c:ser>
        <c:ser>
          <c:idx val="1"/>
          <c:order val="1"/>
          <c:tx>
            <c:strRef>
              <c:f>label 1</c:f>
              <c:strCache>
                <c:ptCount val="1"/>
                <c:pt idx="0">
                  <c:v>2020</c:v>
                </c:pt>
              </c:strCache>
            </c:strRef>
          </c:tx>
          <c:spPr>
            <a:solidFill>
              <a:srgbClr val="ed7d31"/>
            </a:solidFill>
            <a:ln>
              <a:noFill/>
            </a:ln>
          </c:spPr>
          <c:invertIfNegative val="0"/>
          <c:dLbls>
            <c:numFmt formatCode="General" sourceLinked="1"/>
            <c:dLbl>
              <c:idx val="0"/>
              <c:showLegendKey val="0"/>
              <c:showVal val="1"/>
              <c:showCatName val="0"/>
              <c:showSerName val="0"/>
              <c:showPercent val="0"/>
            </c:dLbl>
            <c:dLbl>
              <c:idx val="1"/>
              <c:showLegendKey val="0"/>
              <c:showVal val="1"/>
              <c:showCatName val="0"/>
              <c:showSerName val="0"/>
              <c:showPercent val="0"/>
            </c:dLbl>
            <c:dLbl>
              <c:idx val="2"/>
              <c:showLegendKey val="0"/>
              <c:showVal val="1"/>
              <c:showCatName val="0"/>
              <c:showSerName val="0"/>
              <c:showPercent val="0"/>
            </c:dLbl>
            <c:showLegendKey val="0"/>
            <c:showVal val="1"/>
            <c:showCatName val="0"/>
            <c:showSerName val="0"/>
            <c:showPercent val="0"/>
            <c:showLeaderLines val="0"/>
          </c:dLbls>
          <c:cat>
            <c:strRef>
              <c:f>categories</c:f>
              <c:strCache>
                <c:ptCount val="3"/>
                <c:pt idx="0">
                  <c:v>ДТП</c:v>
                </c:pt>
                <c:pt idx="1">
                  <c:v>Погибло</c:v>
                </c:pt>
                <c:pt idx="2">
                  <c:v>Ранено</c:v>
                </c:pt>
              </c:strCache>
            </c:strRef>
          </c:cat>
          <c:val>
            <c:numRef>
              <c:f>1</c:f>
              <c:numCache>
                <c:formatCode>General</c:formatCode>
                <c:ptCount val="3"/>
                <c:pt idx="0">
                  <c:v>59</c:v>
                </c:pt>
                <c:pt idx="1">
                  <c:v>0</c:v>
                </c:pt>
                <c:pt idx="2">
                  <c:v>71</c:v>
                </c:pt>
              </c:numCache>
            </c:numRef>
          </c:val>
        </c:ser>
        <c:gapWidth val="150"/>
        <c:shape val="box"/>
        <c:axId val="22037214"/>
        <c:axId val="71479609"/>
        <c:axId val="0"/>
      </c:bar3DChart>
      <c:catAx>
        <c:axId val="22037214"/>
        <c:scaling>
          <c:orientation val="minMax"/>
        </c:scaling>
        <c:delete val="0"/>
        <c:axPos val="b"/>
        <c:numFmt formatCode="DD/MM/YYYY" sourceLinked="1"/>
        <c:majorTickMark val="none"/>
        <c:minorTickMark val="none"/>
        <c:tickLblPos val="nextTo"/>
        <c:spPr>
          <a:ln w="6480">
            <a:noFill/>
          </a:ln>
        </c:spPr>
        <c:txPr>
          <a:bodyPr/>
          <a:lstStyle/>
          <a:p>
            <a:pPr>
              <a:defRPr b="0" sz="900" spc="-1" strike="noStrike">
                <a:solidFill>
                  <a:srgbClr val="595959"/>
                </a:solidFill>
                <a:latin typeface="Calibri"/>
              </a:defRPr>
            </a:pPr>
          </a:p>
        </c:txPr>
        <c:crossAx val="71479609"/>
        <c:crosses val="autoZero"/>
        <c:auto val="1"/>
        <c:lblAlgn val="ctr"/>
        <c:lblOffset val="100"/>
      </c:catAx>
      <c:valAx>
        <c:axId val="71479609"/>
        <c:scaling>
          <c:orientation val="minMax"/>
        </c:scaling>
        <c:delete val="0"/>
        <c:axPos val="l"/>
        <c:majorGridlines>
          <c:spPr>
            <a:ln w="9360">
              <a:solidFill>
                <a:srgbClr val="d9d9d9"/>
              </a:solidFill>
              <a:round/>
            </a:ln>
          </c:spPr>
        </c:majorGridlines>
        <c:numFmt formatCode="General" sourceLinked="0"/>
        <c:majorTickMark val="none"/>
        <c:minorTickMark val="none"/>
        <c:tickLblPos val="nextTo"/>
        <c:spPr>
          <a:ln w="6480">
            <a:noFill/>
          </a:ln>
        </c:spPr>
        <c:txPr>
          <a:bodyPr/>
          <a:lstStyle/>
          <a:p>
            <a:pPr>
              <a:defRPr b="0" sz="900" spc="-1" strike="noStrike">
                <a:solidFill>
                  <a:srgbClr val="595959"/>
                </a:solidFill>
                <a:latin typeface="Calibri"/>
              </a:defRPr>
            </a:pPr>
          </a:p>
        </c:txPr>
        <c:crossAx val="22037214"/>
        <c:crosses val="autoZero"/>
      </c:valAx>
    </c:plotArea>
    <c:legend>
      <c:legendPos val="b"/>
      <c:overlay val="0"/>
      <c:spPr>
        <a:noFill/>
        <a:ln>
          <a:noFill/>
        </a:ln>
      </c:spPr>
      <c:txPr>
        <a:bodyPr/>
        <a:lstStyle/>
        <a:p>
          <a:pPr>
            <a:defRPr b="0" sz="900" spc="-1" strike="noStrike">
              <a:solidFill>
                <a:srgbClr val="595959"/>
              </a:solidFill>
              <a:latin typeface="Calibri"/>
            </a:defRPr>
          </a:pPr>
        </a:p>
      </c:txPr>
    </c:legend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title>
      <c:tx>
        <c:rich>
          <a:bodyPr rot="0"/>
          <a:lstStyle/>
          <a:p>
            <a:pPr>
              <a:defRPr b="0" sz="1400" spc="-1" strike="noStrike">
                <a:solidFill>
                  <a:srgbClr val="595959"/>
                </a:solidFill>
                <a:latin typeface="Calibri"/>
              </a:defRPr>
            </a:pPr>
            <a:r>
              <a:rPr b="0" sz="1400" spc="-1" strike="noStrike">
                <a:solidFill>
                  <a:srgbClr val="595959"/>
                </a:solidFill>
                <a:latin typeface="Calibri"/>
              </a:rPr>
              <a:t>Территории, где зарегистрирован рост ДТП</a:t>
            </a:r>
          </a:p>
        </c:rich>
      </c:tx>
      <c:overlay val="0"/>
    </c:title>
    <c:autoTitleDeleted val="0"/>
    <c:plotArea>
      <c:barChart>
        <c:barDir val="bar"/>
        <c:grouping val="clustered"/>
        <c:varyColors val="0"/>
        <c:ser>
          <c:idx val="0"/>
          <c:order val="0"/>
          <c:tx>
            <c:strRef>
              <c:f>label 0</c:f>
              <c:strCache>
                <c:ptCount val="1"/>
                <c:pt idx="0">
                  <c:v>ДТП 2020</c:v>
                </c:pt>
              </c:strCache>
            </c:strRef>
          </c:tx>
          <c:spPr>
            <a:solidFill>
              <a:srgbClr val="ed7d31"/>
            </a:solidFill>
            <a:ln w="19080">
              <a:solidFill>
                <a:srgbClr val="ffffff"/>
              </a:solidFill>
              <a:round/>
            </a:ln>
          </c:spPr>
          <c:invertIfNegative val="0"/>
          <c:dLbls>
            <c:numFmt formatCode="General" sourceLinked="1"/>
            <c:dLbl>
              <c:idx val="0"/>
              <c:dLblPos val="outEnd"/>
              <c:showLegendKey val="0"/>
              <c:showVal val="1"/>
              <c:showCatName val="0"/>
              <c:showSerName val="0"/>
              <c:showPercent val="0"/>
            </c:dLbl>
            <c:dLbl>
              <c:idx val="1"/>
              <c:dLblPos val="outEnd"/>
              <c:showLegendKey val="0"/>
              <c:showVal val="1"/>
              <c:showCatName val="0"/>
              <c:showSerName val="0"/>
              <c:showPercent val="0"/>
            </c:dLbl>
            <c:dLbl>
              <c:idx val="4"/>
              <c:dLblPos val="outEnd"/>
              <c:showLegendKey val="0"/>
              <c:showVal val="1"/>
              <c:showCatName val="0"/>
              <c:showSerName val="0"/>
              <c:showPercent val="0"/>
            </c:dLbl>
            <c:dLblPos val="outEnd"/>
            <c:showLegendKey val="0"/>
            <c:showVal val="1"/>
            <c:showCatName val="0"/>
            <c:showSerName val="0"/>
            <c:showPercent val="0"/>
            <c:showLeaderLines val="0"/>
          </c:dLbls>
          <c:cat>
            <c:strRef>
              <c:f>categories</c:f>
              <c:strCache>
                <c:ptCount val="10"/>
                <c:pt idx="0">
                  <c:v>Байкалово</c:v>
                </c:pt>
                <c:pt idx="1">
                  <c:v>Березовский</c:v>
                </c:pt>
                <c:pt idx="2">
                  <c:v>Верхняя Салда</c:v>
                </c:pt>
                <c:pt idx="3">
                  <c:v>Тавда</c:v>
                </c:pt>
                <c:pt idx="4">
                  <c:v>Заречный</c:v>
                </c:pt>
                <c:pt idx="5">
                  <c:v>Ирбит</c:v>
                </c:pt>
                <c:pt idx="6">
                  <c:v>Новая Ляля</c:v>
                </c:pt>
                <c:pt idx="7">
                  <c:v>Красноуфимск</c:v>
                </c:pt>
                <c:pt idx="8">
                  <c:v>Каменск-Уральский</c:v>
                </c:pt>
                <c:pt idx="9">
                  <c:v>Нижние Серги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10"/>
                <c:pt idx="0">
                  <c:v>1</c:v>
                </c:pt>
                <c:pt idx="1">
                  <c:v>1</c:v>
                </c:pt>
                <c:pt idx="2">
                  <c:v>1</c:v>
                </c:pt>
                <c:pt idx="3">
                  <c:v>1</c:v>
                </c:pt>
                <c:pt idx="4">
                  <c:v>1</c:v>
                </c:pt>
                <c:pt idx="5">
                  <c:v>2</c:v>
                </c:pt>
                <c:pt idx="6">
                  <c:v>2</c:v>
                </c:pt>
                <c:pt idx="7">
                  <c:v>2</c:v>
                </c:pt>
                <c:pt idx="8">
                  <c:v>3</c:v>
                </c:pt>
                <c:pt idx="9">
                  <c:v>4</c:v>
                </c:pt>
              </c:numCache>
            </c:numRef>
          </c:val>
        </c:ser>
        <c:ser>
          <c:idx val="1"/>
          <c:order val="1"/>
          <c:tx>
            <c:strRef>
              <c:f>label 1</c:f>
              <c:strCache>
                <c:ptCount val="1"/>
                <c:pt idx="0">
                  <c:v>ДТП 2019</c:v>
                </c:pt>
              </c:strCache>
            </c:strRef>
          </c:tx>
          <c:spPr>
            <a:solidFill>
              <a:srgbClr val="ffc000"/>
            </a:solidFill>
            <a:ln w="19080">
              <a:solidFill>
                <a:srgbClr val="ffffff"/>
              </a:solidFill>
              <a:round/>
            </a:ln>
          </c:spPr>
          <c:invertIfNegative val="0"/>
          <c:dLbls>
            <c:numFmt formatCode="General" sourceLinked="1"/>
            <c:dLblPos val="outEnd"/>
            <c:showLegendKey val="0"/>
            <c:showVal val="1"/>
            <c:showCatName val="0"/>
            <c:showSerName val="0"/>
            <c:showPercent val="0"/>
            <c:showLeaderLines val="0"/>
          </c:dLbls>
          <c:cat>
            <c:strRef>
              <c:f>categories</c:f>
              <c:strCache>
                <c:ptCount val="10"/>
                <c:pt idx="0">
                  <c:v>Байкалово</c:v>
                </c:pt>
                <c:pt idx="1">
                  <c:v>Березовский</c:v>
                </c:pt>
                <c:pt idx="2">
                  <c:v>Верхняя Салда</c:v>
                </c:pt>
                <c:pt idx="3">
                  <c:v>Тавда</c:v>
                </c:pt>
                <c:pt idx="4">
                  <c:v>Заречный</c:v>
                </c:pt>
                <c:pt idx="5">
                  <c:v>Ирбит</c:v>
                </c:pt>
                <c:pt idx="6">
                  <c:v>Новая Ляля</c:v>
                </c:pt>
                <c:pt idx="7">
                  <c:v>Красноуфимск</c:v>
                </c:pt>
                <c:pt idx="8">
                  <c:v>Каменск-Уральский</c:v>
                </c:pt>
                <c:pt idx="9">
                  <c:v>Нижние Серги</c:v>
                </c:pt>
              </c:strCache>
            </c:strRef>
          </c:cat>
          <c:val>
            <c:numRef>
              <c:f>1</c:f>
              <c:numCache>
                <c:formatCode>General</c:formatCode>
                <c:ptCount val="10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1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</c:numCache>
            </c:numRef>
          </c:val>
        </c:ser>
        <c:gapWidth val="100"/>
        <c:overlap val="0"/>
        <c:axId val="79282255"/>
        <c:axId val="37845079"/>
      </c:barChart>
      <c:catAx>
        <c:axId val="79282255"/>
        <c:scaling>
          <c:orientation val="minMax"/>
        </c:scaling>
        <c:delete val="0"/>
        <c:axPos val="b"/>
        <c:numFmt formatCode="DD/MM/YYYY" sourceLinked="1"/>
        <c:majorTickMark val="out"/>
        <c:minorTickMark val="none"/>
        <c:tickLblPos val="nextTo"/>
        <c:spPr>
          <a:ln w="9360">
            <a:solidFill>
              <a:srgbClr val="d9d9d9"/>
            </a:solidFill>
            <a:round/>
          </a:ln>
        </c:spPr>
        <c:txPr>
          <a:bodyPr/>
          <a:lstStyle/>
          <a:p>
            <a:pPr>
              <a:defRPr b="0" sz="900" spc="-1" strike="noStrike">
                <a:solidFill>
                  <a:srgbClr val="595959"/>
                </a:solidFill>
                <a:latin typeface="Calibri"/>
              </a:defRPr>
            </a:pPr>
          </a:p>
        </c:txPr>
        <c:crossAx val="37845079"/>
        <c:crosses val="autoZero"/>
        <c:auto val="1"/>
        <c:lblAlgn val="ctr"/>
        <c:lblOffset val="100"/>
      </c:catAx>
      <c:valAx>
        <c:axId val="37845079"/>
        <c:scaling>
          <c:orientation val="minMax"/>
        </c:scaling>
        <c:delete val="0"/>
        <c:axPos val="l"/>
        <c:majorGridlines>
          <c:spPr>
            <a:ln w="9360">
              <a:solidFill>
                <a:srgbClr val="d9d9d9"/>
              </a:solidFill>
              <a:round/>
            </a:ln>
          </c:spPr>
        </c:majorGridlines>
        <c:numFmt formatCode="General" sourceLinked="0"/>
        <c:majorTickMark val="out"/>
        <c:minorTickMark val="none"/>
        <c:tickLblPos val="nextTo"/>
        <c:spPr>
          <a:ln w="6480">
            <a:noFill/>
          </a:ln>
        </c:spPr>
        <c:txPr>
          <a:bodyPr/>
          <a:lstStyle/>
          <a:p>
            <a:pPr>
              <a:defRPr b="0" sz="900" spc="-1" strike="noStrike">
                <a:solidFill>
                  <a:srgbClr val="595959"/>
                </a:solidFill>
                <a:latin typeface="Calibri"/>
              </a:defRPr>
            </a:pPr>
          </a:p>
        </c:txPr>
        <c:crossAx val="79282255"/>
        <c:crosses val="autoZero"/>
      </c:valAx>
      <c:spPr>
        <a:noFill/>
        <a:ln>
          <a:noFill/>
        </a:ln>
      </c:spPr>
    </c:plotArea>
    <c:legend>
      <c:legendPos val="b"/>
      <c:overlay val="0"/>
      <c:spPr>
        <a:noFill/>
        <a:ln>
          <a:noFill/>
        </a:ln>
      </c:spPr>
      <c:txPr>
        <a:bodyPr/>
        <a:lstStyle/>
        <a:p>
          <a:pPr>
            <a:defRPr b="0" sz="900" spc="-1" strike="noStrike">
              <a:solidFill>
                <a:srgbClr val="595959"/>
              </a:solidFill>
              <a:latin typeface="Calibri"/>
            </a:defRPr>
          </a:pPr>
        </a:p>
      </c:txPr>
    </c:legend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title>
      <c:tx>
        <c:rich>
          <a:bodyPr rot="0"/>
          <a:lstStyle/>
          <a:p>
            <a:pPr>
              <a:defRPr b="0" sz="1400" spc="-1" strike="noStrike">
                <a:solidFill>
                  <a:srgbClr val="595959"/>
                </a:solidFill>
                <a:latin typeface="Calibri"/>
              </a:defRPr>
            </a:pPr>
            <a:r>
              <a:rPr b="0" sz="1400" spc="-1" strike="noStrike">
                <a:solidFill>
                  <a:srgbClr val="595959"/>
                </a:solidFill>
                <a:latin typeface="Calibri"/>
              </a:rPr>
              <a:t>Распределение пострадавших детей по возрастным группам</a:t>
            </a:r>
          </a:p>
        </c:rich>
      </c:tx>
      <c:overlay val="0"/>
    </c:title>
    <c:autoTitleDeleted val="0"/>
    <c:plotArea>
      <c:pieChart>
        <c:varyColors val="1"/>
        <c:ser>
          <c:idx val="0"/>
          <c:order val="0"/>
          <c:tx>
            <c:strRef>
              <c:f>label 0</c:f>
              <c:strCache>
                <c:ptCount val="1"/>
                <c:pt idx="0">
                  <c:v>Распределение пострадавших детей по возрастным группам</c:v>
                </c:pt>
              </c:strCache>
            </c:strRef>
          </c:tx>
          <c:spPr>
            <a:solidFill>
              <a:srgbClr val="5b9bd5"/>
            </a:solidFill>
            <a:ln>
              <a:noFill/>
            </a:ln>
          </c:spPr>
          <c:explosion val="0"/>
          <c:dPt>
            <c:idx val="0"/>
            <c:spPr>
              <a:solidFill>
                <a:srgbClr val="ed7d31"/>
              </a:solidFill>
              <a:ln w="19080">
                <a:solidFill>
                  <a:srgbClr val="ffffff"/>
                </a:solidFill>
                <a:round/>
              </a:ln>
            </c:spPr>
          </c:dPt>
          <c:dPt>
            <c:idx val="1"/>
            <c:spPr>
              <a:solidFill>
                <a:srgbClr val="ffc000"/>
              </a:solidFill>
              <a:ln w="19080">
                <a:solidFill>
                  <a:srgbClr val="ffffff"/>
                </a:solidFill>
                <a:round/>
              </a:ln>
            </c:spPr>
          </c:dPt>
          <c:dPt>
            <c:idx val="2"/>
            <c:spPr>
              <a:solidFill>
                <a:srgbClr val="70ad47"/>
              </a:solidFill>
              <a:ln w="19080">
                <a:solidFill>
                  <a:srgbClr val="ffffff"/>
                </a:solidFill>
                <a:round/>
              </a:ln>
            </c:spPr>
          </c:dPt>
          <c:dLbls>
            <c:numFmt formatCode="General" sourceLinked="1"/>
            <c:dLbl>
              <c:idx val="0"/>
              <c:dLblPos val="bestFit"/>
              <c:showLegendKey val="0"/>
              <c:showVal val="1"/>
              <c:showCatName val="0"/>
              <c:showSerName val="0"/>
              <c:showPercent val="0"/>
            </c:dLbl>
            <c:dLbl>
              <c:idx val="1"/>
              <c:dLblPos val="bestFit"/>
              <c:showLegendKey val="0"/>
              <c:showVal val="1"/>
              <c:showCatName val="0"/>
              <c:showSerName val="0"/>
              <c:showPercent val="0"/>
            </c:dLbl>
            <c:dLbl>
              <c:idx val="2"/>
              <c:dLblPos val="bestFit"/>
              <c:showLegendKey val="0"/>
              <c:showVal val="1"/>
              <c:showCatName val="0"/>
              <c:showSerName val="0"/>
              <c:showPercent val="0"/>
            </c:dLbl>
            <c:dLblPos val="bestFit"/>
            <c:showLegendKey val="0"/>
            <c:showVal val="1"/>
            <c:showCatName val="0"/>
            <c:showSerName val="0"/>
            <c:showPercent val="0"/>
            <c:showLeaderLines val="0"/>
          </c:dLbls>
          <c:cat>
            <c:strRef>
              <c:f>categories</c:f>
              <c:strCache>
                <c:ptCount val="3"/>
                <c:pt idx="0">
                  <c:v>0-6 лет</c:v>
                </c:pt>
                <c:pt idx="1">
                  <c:v>7-10 лет</c:v>
                </c:pt>
                <c:pt idx="2">
                  <c:v>11-15 лет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3"/>
                <c:pt idx="0">
                  <c:v>21</c:v>
                </c:pt>
                <c:pt idx="1">
                  <c:v>18</c:v>
                </c:pt>
                <c:pt idx="2">
                  <c:v>32</c:v>
                </c:pt>
              </c:numCache>
            </c:numRef>
          </c:val>
        </c:ser>
        <c:firstSliceAng val="0"/>
      </c:pieChart>
      <c:spPr>
        <a:noFill/>
        <a:ln>
          <a:noFill/>
        </a:ln>
      </c:spPr>
    </c:plotArea>
    <c:legend>
      <c:legendPos val="b"/>
      <c:overlay val="0"/>
      <c:spPr>
        <a:noFill/>
        <a:ln>
          <a:noFill/>
        </a:ln>
      </c:spPr>
      <c:txPr>
        <a:bodyPr/>
        <a:lstStyle/>
        <a:p>
          <a:pPr>
            <a:defRPr b="0" sz="900" spc="-1" strike="noStrike">
              <a:solidFill>
                <a:srgbClr val="595959"/>
              </a:solidFill>
              <a:latin typeface="Calibri"/>
            </a:defRPr>
          </a:pPr>
        </a:p>
      </c:txPr>
    </c:legend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title>
      <c:tx>
        <c:rich>
          <a:bodyPr rot="0"/>
          <a:lstStyle/>
          <a:p>
            <a:pPr>
              <a:defRPr b="0" sz="1400" spc="-1" strike="noStrike">
                <a:solidFill>
                  <a:srgbClr val="595959"/>
                </a:solidFill>
                <a:latin typeface="Calibri"/>
              </a:defRPr>
            </a:pPr>
            <a:r>
              <a:rPr b="0" sz="1400" spc="-1" strike="noStrike">
                <a:solidFill>
                  <a:srgbClr val="595959"/>
                </a:solidFill>
                <a:latin typeface="Calibri"/>
              </a:rPr>
              <a:t>Распределение пострадавших детей по гендерым признакам</a:t>
            </a:r>
          </a:p>
        </c:rich>
      </c:tx>
      <c:overlay val="0"/>
    </c:title>
    <c:autoTitleDeleted val="0"/>
    <c:plotArea>
      <c:pieChart>
        <c:varyColors val="1"/>
        <c:ser>
          <c:idx val="0"/>
          <c:order val="0"/>
          <c:tx>
            <c:strRef>
              <c:f>label 0</c:f>
              <c:strCache>
                <c:ptCount val="1"/>
                <c:pt idx="0">
                  <c:v>Распределение пострадавших детей по возрастным группам</c:v>
                </c:pt>
              </c:strCache>
            </c:strRef>
          </c:tx>
          <c:spPr>
            <a:solidFill>
              <a:srgbClr val="5b9bd5"/>
            </a:solidFill>
            <a:ln>
              <a:noFill/>
            </a:ln>
          </c:spPr>
          <c:explosion val="0"/>
          <c:dPt>
            <c:idx val="0"/>
            <c:spPr>
              <a:solidFill>
                <a:srgbClr val="5b9bd5"/>
              </a:solidFill>
              <a:ln w="19080">
                <a:solidFill>
                  <a:srgbClr val="ffffff"/>
                </a:solidFill>
                <a:round/>
              </a:ln>
            </c:spPr>
          </c:dPt>
          <c:dPt>
            <c:idx val="1"/>
            <c:spPr>
              <a:solidFill>
                <a:srgbClr val="ed7d31"/>
              </a:solidFill>
              <a:ln w="19080">
                <a:solidFill>
                  <a:srgbClr val="ffffff"/>
                </a:solidFill>
                <a:round/>
              </a:ln>
            </c:spPr>
          </c:dPt>
          <c:dLbls>
            <c:numFmt formatCode="General" sourceLinked="1"/>
            <c:dLbl>
              <c:idx val="0"/>
              <c:dLblPos val="bestFit"/>
              <c:showLegendKey val="0"/>
              <c:showVal val="1"/>
              <c:showCatName val="0"/>
              <c:showSerName val="0"/>
              <c:showPercent val="0"/>
            </c:dLbl>
            <c:dLbl>
              <c:idx val="1"/>
              <c:dLblPos val="bestFit"/>
              <c:showLegendKey val="0"/>
              <c:showVal val="1"/>
              <c:showCatName val="0"/>
              <c:showSerName val="0"/>
              <c:showPercent val="0"/>
            </c:dLbl>
            <c:dLblPos val="bestFit"/>
            <c:showLegendKey val="0"/>
            <c:showVal val="1"/>
            <c:showCatName val="0"/>
            <c:showSerName val="0"/>
            <c:showPercent val="0"/>
            <c:showLeaderLines val="0"/>
          </c:dLbls>
          <c:cat>
            <c:strRef>
              <c:f>categories</c:f>
              <c:strCache>
                <c:ptCount val="2"/>
                <c:pt idx="0">
                  <c:v>мальчики</c:v>
                </c:pt>
                <c:pt idx="1">
                  <c:v>девочки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2"/>
                <c:pt idx="0">
                  <c:v>27</c:v>
                </c:pt>
                <c:pt idx="1">
                  <c:v>44</c:v>
                </c:pt>
              </c:numCache>
            </c:numRef>
          </c:val>
        </c:ser>
        <c:firstSliceAng val="0"/>
      </c:pieChart>
      <c:spPr>
        <a:noFill/>
        <a:ln>
          <a:noFill/>
        </a:ln>
      </c:spPr>
    </c:plotArea>
    <c:legend>
      <c:legendPos val="b"/>
      <c:overlay val="0"/>
      <c:spPr>
        <a:noFill/>
        <a:ln>
          <a:noFill/>
        </a:ln>
      </c:spPr>
      <c:txPr>
        <a:bodyPr/>
        <a:lstStyle/>
        <a:p>
          <a:pPr>
            <a:defRPr b="0" sz="900" spc="-1" strike="noStrike">
              <a:solidFill>
                <a:srgbClr val="595959"/>
              </a:solidFill>
              <a:latin typeface="Calibri"/>
            </a:defRPr>
          </a:pPr>
        </a:p>
      </c:txPr>
    </c:legend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title>
      <c:tx>
        <c:rich>
          <a:bodyPr rot="0"/>
          <a:lstStyle/>
          <a:p>
            <a:pPr>
              <a:defRPr b="0" sz="1400" spc="-1" strike="noStrike">
                <a:solidFill>
                  <a:srgbClr val="595959"/>
                </a:solidFill>
                <a:latin typeface="Calibri"/>
              </a:defRPr>
            </a:pPr>
            <a:r>
              <a:rPr b="0" sz="1400" spc="-1" strike="noStrike">
                <a:solidFill>
                  <a:srgbClr val="595959"/>
                </a:solidFill>
                <a:latin typeface="Calibri"/>
              </a:rPr>
              <a:t>Распределение показателей в зависимости от погодных условий</a:t>
            </a:r>
          </a:p>
        </c:rich>
      </c:tx>
      <c:overlay val="0"/>
    </c:title>
    <c:autoTitleDeleted val="0"/>
    <c:plotArea>
      <c:barChart>
        <c:barDir val="col"/>
        <c:grouping val="clustered"/>
        <c:varyColors val="0"/>
        <c:ser>
          <c:idx val="0"/>
          <c:order val="0"/>
          <c:tx>
            <c:strRef>
              <c:f>label 0</c:f>
              <c:strCache>
                <c:ptCount val="1"/>
                <c:pt idx="0">
                  <c:v>ДТП</c:v>
                </c:pt>
              </c:strCache>
            </c:strRef>
          </c:tx>
          <c:spPr>
            <a:solidFill>
              <a:srgbClr val="70ad47"/>
            </a:solidFill>
            <a:ln>
              <a:noFill/>
            </a:ln>
          </c:spPr>
          <c:invertIfNegative val="0"/>
          <c:dLbls>
            <c:numFmt formatCode="General" sourceLinked="1"/>
            <c:dLblPos val="outEnd"/>
            <c:showLegendKey val="0"/>
            <c:showVal val="1"/>
            <c:showCatName val="0"/>
            <c:showSerName val="0"/>
            <c:showPercent val="0"/>
            <c:showLeaderLines val="0"/>
          </c:dLbls>
          <c:cat>
            <c:strRef>
              <c:f>categories</c:f>
              <c:strCache>
                <c:ptCount val="3"/>
                <c:pt idx="0">
                  <c:v>Ясно</c:v>
                </c:pt>
                <c:pt idx="1">
                  <c:v>Пасмурно</c:v>
                </c:pt>
                <c:pt idx="2">
                  <c:v>Снегопад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3"/>
                <c:pt idx="0">
                  <c:v>10</c:v>
                </c:pt>
                <c:pt idx="1">
                  <c:v>23</c:v>
                </c:pt>
                <c:pt idx="2">
                  <c:v>8</c:v>
                </c:pt>
              </c:numCache>
            </c:numRef>
          </c:val>
        </c:ser>
        <c:ser>
          <c:idx val="1"/>
          <c:order val="1"/>
          <c:tx>
            <c:strRef>
              <c:f>label 1</c:f>
              <c:strCache>
                <c:ptCount val="1"/>
                <c:pt idx="0">
                  <c:v>Ранено</c:v>
                </c:pt>
              </c:strCache>
            </c:strRef>
          </c:tx>
          <c:spPr>
            <a:solidFill>
              <a:srgbClr val="4472c4"/>
            </a:solidFill>
            <a:ln>
              <a:noFill/>
            </a:ln>
          </c:spPr>
          <c:invertIfNegative val="0"/>
          <c:dLbls>
            <c:numFmt formatCode="General" sourceLinked="1"/>
            <c:dLblPos val="outEnd"/>
            <c:showLegendKey val="0"/>
            <c:showVal val="1"/>
            <c:showCatName val="0"/>
            <c:showSerName val="0"/>
            <c:showPercent val="0"/>
            <c:showLeaderLines val="0"/>
          </c:dLbls>
          <c:cat>
            <c:strRef>
              <c:f>categories</c:f>
              <c:strCache>
                <c:ptCount val="3"/>
                <c:pt idx="0">
                  <c:v>Ясно</c:v>
                </c:pt>
                <c:pt idx="1">
                  <c:v>Пасмурно</c:v>
                </c:pt>
                <c:pt idx="2">
                  <c:v>Снегопад</c:v>
                </c:pt>
              </c:strCache>
            </c:strRef>
          </c:cat>
          <c:val>
            <c:numRef>
              <c:f>1</c:f>
              <c:numCache>
                <c:formatCode>General</c:formatCode>
                <c:ptCount val="3"/>
                <c:pt idx="0">
                  <c:v>12</c:v>
                </c:pt>
                <c:pt idx="1">
                  <c:v>29</c:v>
                </c:pt>
                <c:pt idx="2">
                  <c:v>10</c:v>
                </c:pt>
              </c:numCache>
            </c:numRef>
          </c:val>
        </c:ser>
        <c:gapWidth val="219"/>
        <c:overlap val="-27"/>
        <c:axId val="62158539"/>
        <c:axId val="53259677"/>
      </c:barChart>
      <c:catAx>
        <c:axId val="62158539"/>
        <c:scaling>
          <c:orientation val="minMax"/>
        </c:scaling>
        <c:delete val="0"/>
        <c:axPos val="b"/>
        <c:numFmt formatCode="DD/MM/YYYY" sourceLinked="1"/>
        <c:majorTickMark val="none"/>
        <c:minorTickMark val="none"/>
        <c:tickLblPos val="nextTo"/>
        <c:spPr>
          <a:ln w="9360">
            <a:solidFill>
              <a:srgbClr val="d9d9d9"/>
            </a:solidFill>
            <a:round/>
          </a:ln>
        </c:spPr>
        <c:txPr>
          <a:bodyPr/>
          <a:lstStyle/>
          <a:p>
            <a:pPr>
              <a:defRPr b="0" sz="900" spc="-1" strike="noStrike">
                <a:solidFill>
                  <a:srgbClr val="595959"/>
                </a:solidFill>
                <a:latin typeface="Calibri"/>
              </a:defRPr>
            </a:pPr>
          </a:p>
        </c:txPr>
        <c:crossAx val="53259677"/>
        <c:crosses val="autoZero"/>
        <c:auto val="1"/>
        <c:lblAlgn val="ctr"/>
        <c:lblOffset val="100"/>
      </c:catAx>
      <c:valAx>
        <c:axId val="53259677"/>
        <c:scaling>
          <c:orientation val="minMax"/>
        </c:scaling>
        <c:delete val="0"/>
        <c:axPos val="l"/>
        <c:majorGridlines>
          <c:spPr>
            <a:ln w="9360">
              <a:solidFill>
                <a:srgbClr val="d9d9d9"/>
              </a:solidFill>
              <a:round/>
            </a:ln>
          </c:spPr>
        </c:majorGridlines>
        <c:numFmt formatCode="General" sourceLinked="0"/>
        <c:majorTickMark val="none"/>
        <c:minorTickMark val="none"/>
        <c:tickLblPos val="nextTo"/>
        <c:spPr>
          <a:ln w="6480">
            <a:noFill/>
          </a:ln>
        </c:spPr>
        <c:txPr>
          <a:bodyPr/>
          <a:lstStyle/>
          <a:p>
            <a:pPr>
              <a:defRPr b="0" sz="900" spc="-1" strike="noStrike">
                <a:solidFill>
                  <a:srgbClr val="595959"/>
                </a:solidFill>
                <a:latin typeface="Calibri"/>
              </a:defRPr>
            </a:pPr>
          </a:p>
        </c:txPr>
        <c:crossAx val="62158539"/>
        <c:crosses val="autoZero"/>
      </c:valAx>
      <c:spPr>
        <a:noFill/>
        <a:ln>
          <a:noFill/>
        </a:ln>
      </c:spPr>
    </c:plotArea>
    <c:legend>
      <c:legendPos val="b"/>
      <c:overlay val="0"/>
      <c:spPr>
        <a:noFill/>
        <a:ln>
          <a:noFill/>
        </a:ln>
      </c:spPr>
      <c:txPr>
        <a:bodyPr/>
        <a:lstStyle/>
        <a:p>
          <a:pPr>
            <a:defRPr b="0" sz="900" spc="-1" strike="noStrike">
              <a:solidFill>
                <a:srgbClr val="595959"/>
              </a:solidFill>
              <a:latin typeface="Calibri"/>
            </a:defRPr>
          </a:pPr>
        </a:p>
      </c:txPr>
    </c:legend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title>
      <c:tx>
        <c:rich>
          <a:bodyPr rot="0"/>
          <a:lstStyle/>
          <a:p>
            <a:pPr>
              <a:defRPr b="0" sz="1400" spc="-1" strike="noStrike">
                <a:solidFill>
                  <a:srgbClr val="595959"/>
                </a:solidFill>
                <a:latin typeface="Calibri"/>
              </a:defRPr>
            </a:pPr>
            <a:r>
              <a:rPr b="0" sz="1400" spc="-1" strike="noStrike">
                <a:solidFill>
                  <a:srgbClr val="595959"/>
                </a:solidFill>
                <a:latin typeface="Calibri"/>
              </a:rPr>
              <a:t>Распределение ДТП по времени суток</a:t>
            </a:r>
          </a:p>
        </c:rich>
      </c:tx>
      <c:overlay val="0"/>
    </c:title>
    <c:autoTitleDeleted val="0"/>
    <c:plotArea>
      <c:barChart>
        <c:barDir val="col"/>
        <c:grouping val="clustered"/>
        <c:varyColors val="0"/>
        <c:ser>
          <c:idx val="0"/>
          <c:order val="0"/>
          <c:tx>
            <c:strRef>
              <c:f>label 0</c:f>
              <c:strCache>
                <c:ptCount val="1"/>
                <c:pt idx="0">
                  <c:v>ДТП</c:v>
                </c:pt>
              </c:strCache>
            </c:strRef>
          </c:tx>
          <c:spPr>
            <a:solidFill>
              <a:srgbClr val="70ad47"/>
            </a:solidFill>
            <a:ln>
              <a:noFill/>
            </a:ln>
          </c:spPr>
          <c:invertIfNegative val="0"/>
          <c:dLbls>
            <c:numFmt formatCode="General" sourceLinked="1"/>
            <c:dLblPos val="outEnd"/>
            <c:showLegendKey val="0"/>
            <c:showVal val="1"/>
            <c:showCatName val="0"/>
            <c:showSerName val="0"/>
            <c:showPercent val="0"/>
            <c:showLeaderLines val="0"/>
          </c:dLbls>
          <c:cat>
            <c:strRef>
              <c:f>categories</c:f>
              <c:strCache>
                <c:ptCount val="7"/>
                <c:pt idx="0">
                  <c:v>00 ч. 00 мин. - 07 ч. 00 мин.</c:v>
                </c:pt>
                <c:pt idx="1">
                  <c:v>07 ч. 00 мин. - 09 ч. 00 мин.</c:v>
                </c:pt>
                <c:pt idx="2">
                  <c:v>09 ч. 00 мин. - 12 ч. 00 мин.</c:v>
                </c:pt>
                <c:pt idx="3">
                  <c:v>12 ч. 00 мин. - 15 ч. 00 мин.</c:v>
                </c:pt>
                <c:pt idx="4">
                  <c:v>15 ч. 00 мин. - 18 ч. 00 мин.</c:v>
                </c:pt>
                <c:pt idx="5">
                  <c:v>18 ч. 00 мин. - 21 ч. 00 мин.</c:v>
                </c:pt>
                <c:pt idx="6">
                  <c:v>21 ч. 00 мин. - 24 ч. 00 мин.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7"/>
                <c:pt idx="0">
                  <c:v>1</c:v>
                </c:pt>
                <c:pt idx="1">
                  <c:v>5</c:v>
                </c:pt>
                <c:pt idx="2">
                  <c:v>6</c:v>
                </c:pt>
                <c:pt idx="3">
                  <c:v>7</c:v>
                </c:pt>
                <c:pt idx="4">
                  <c:v>7</c:v>
                </c:pt>
                <c:pt idx="5">
                  <c:v>12</c:v>
                </c:pt>
                <c:pt idx="6">
                  <c:v>3</c:v>
                </c:pt>
              </c:numCache>
            </c:numRef>
          </c:val>
        </c:ser>
        <c:gapWidth val="219"/>
        <c:overlap val="-27"/>
        <c:axId val="65815698"/>
        <c:axId val="78684136"/>
      </c:barChart>
      <c:catAx>
        <c:axId val="65815698"/>
        <c:scaling>
          <c:orientation val="minMax"/>
        </c:scaling>
        <c:delete val="0"/>
        <c:axPos val="b"/>
        <c:numFmt formatCode="DD/MM/YYYY" sourceLinked="1"/>
        <c:majorTickMark val="none"/>
        <c:minorTickMark val="none"/>
        <c:tickLblPos val="nextTo"/>
        <c:spPr>
          <a:ln w="9360">
            <a:solidFill>
              <a:srgbClr val="d9d9d9"/>
            </a:solidFill>
            <a:round/>
          </a:ln>
        </c:spPr>
        <c:txPr>
          <a:bodyPr/>
          <a:lstStyle/>
          <a:p>
            <a:pPr>
              <a:defRPr b="0" sz="900" spc="-1" strike="noStrike">
                <a:solidFill>
                  <a:srgbClr val="595959"/>
                </a:solidFill>
                <a:latin typeface="Calibri"/>
              </a:defRPr>
            </a:pPr>
          </a:p>
        </c:txPr>
        <c:crossAx val="78684136"/>
        <c:crosses val="autoZero"/>
        <c:auto val="1"/>
        <c:lblAlgn val="ctr"/>
        <c:lblOffset val="100"/>
      </c:catAx>
      <c:valAx>
        <c:axId val="78684136"/>
        <c:scaling>
          <c:orientation val="minMax"/>
        </c:scaling>
        <c:delete val="0"/>
        <c:axPos val="l"/>
        <c:majorGridlines>
          <c:spPr>
            <a:ln w="9360">
              <a:solidFill>
                <a:srgbClr val="d9d9d9"/>
              </a:solidFill>
              <a:round/>
            </a:ln>
          </c:spPr>
        </c:majorGridlines>
        <c:numFmt formatCode="General" sourceLinked="0"/>
        <c:majorTickMark val="none"/>
        <c:minorTickMark val="none"/>
        <c:tickLblPos val="nextTo"/>
        <c:spPr>
          <a:ln w="6480">
            <a:noFill/>
          </a:ln>
        </c:spPr>
        <c:txPr>
          <a:bodyPr/>
          <a:lstStyle/>
          <a:p>
            <a:pPr>
              <a:defRPr b="0" sz="900" spc="-1" strike="noStrike">
                <a:solidFill>
                  <a:srgbClr val="595959"/>
                </a:solidFill>
                <a:latin typeface="Calibri"/>
              </a:defRPr>
            </a:pPr>
          </a:p>
        </c:txPr>
        <c:crossAx val="65815698"/>
        <c:crosses val="autoZero"/>
      </c:valAx>
      <c:spPr>
        <a:noFill/>
        <a:ln>
          <a:noFill/>
        </a:ln>
      </c:spPr>
    </c:plotArea>
    <c:legend>
      <c:legendPos val="b"/>
      <c:overlay val="0"/>
      <c:spPr>
        <a:noFill/>
        <a:ln>
          <a:noFill/>
        </a:ln>
      </c:spPr>
      <c:txPr>
        <a:bodyPr/>
        <a:lstStyle/>
        <a:p>
          <a:pPr>
            <a:defRPr b="0" sz="900" spc="-1" strike="noStrike">
              <a:solidFill>
                <a:srgbClr val="595959"/>
              </a:solidFill>
              <a:latin typeface="Calibri"/>
            </a:defRPr>
          </a:pPr>
        </a:p>
      </c:txPr>
    </c:legend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title>
      <c:tx>
        <c:rich>
          <a:bodyPr rot="0"/>
          <a:lstStyle/>
          <a:p>
            <a:pPr>
              <a:defRPr b="0" sz="1400" spc="-1" strike="noStrike">
                <a:solidFill>
                  <a:srgbClr val="595959"/>
                </a:solidFill>
                <a:latin typeface="Calibri"/>
              </a:defRPr>
            </a:pPr>
            <a:r>
              <a:rPr b="0" sz="1400" spc="-1" strike="noStrike">
                <a:solidFill>
                  <a:srgbClr val="595959"/>
                </a:solidFill>
                <a:latin typeface="Calibri"/>
              </a:rPr>
              <a:t>Распределение ДТП по дням недели</a:t>
            </a:r>
          </a:p>
        </c:rich>
      </c:tx>
      <c:overlay val="0"/>
    </c:title>
    <c:autoTitleDeleted val="0"/>
    <c:plotArea>
      <c:barChart>
        <c:barDir val="col"/>
        <c:grouping val="clustered"/>
        <c:varyColors val="0"/>
        <c:ser>
          <c:idx val="0"/>
          <c:order val="0"/>
          <c:tx>
            <c:strRef>
              <c:f>label 0</c:f>
              <c:strCache>
                <c:ptCount val="1"/>
                <c:pt idx="0">
                  <c:v>ДТП</c:v>
                </c:pt>
              </c:strCache>
            </c:strRef>
          </c:tx>
          <c:spPr>
            <a:solidFill>
              <a:srgbClr val="5b9bd5"/>
            </a:solidFill>
            <a:ln>
              <a:noFill/>
            </a:ln>
          </c:spPr>
          <c:invertIfNegative val="0"/>
          <c:dLbls>
            <c:numFmt formatCode="General" sourceLinked="1"/>
            <c:dLblPos val="outEnd"/>
            <c:showLegendKey val="0"/>
            <c:showVal val="1"/>
            <c:showCatName val="0"/>
            <c:showSerName val="0"/>
            <c:showPercent val="0"/>
            <c:showLeaderLines val="0"/>
          </c:dLbls>
          <c:cat>
            <c:strRef>
              <c:f>categories</c:f>
              <c:strCache>
                <c:ptCount val="7"/>
                <c:pt idx="0">
                  <c:v>понедельник</c:v>
                </c:pt>
                <c:pt idx="1">
                  <c:v>вторник</c:v>
                </c:pt>
                <c:pt idx="2">
                  <c:v>среда</c:v>
                </c:pt>
                <c:pt idx="3">
                  <c:v>четверг</c:v>
                </c:pt>
                <c:pt idx="4">
                  <c:v>пятница</c:v>
                </c:pt>
                <c:pt idx="5">
                  <c:v>суббота</c:v>
                </c:pt>
                <c:pt idx="6">
                  <c:v>воскресенье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7"/>
                <c:pt idx="0">
                  <c:v>8</c:v>
                </c:pt>
                <c:pt idx="1">
                  <c:v>10</c:v>
                </c:pt>
                <c:pt idx="2">
                  <c:v>6</c:v>
                </c:pt>
                <c:pt idx="3">
                  <c:v>13</c:v>
                </c:pt>
                <c:pt idx="4">
                  <c:v>6</c:v>
                </c:pt>
                <c:pt idx="5">
                  <c:v>7</c:v>
                </c:pt>
                <c:pt idx="6">
                  <c:v>9</c:v>
                </c:pt>
              </c:numCache>
            </c:numRef>
          </c:val>
        </c:ser>
        <c:ser>
          <c:idx val="1"/>
          <c:order val="1"/>
          <c:tx>
            <c:strRef>
              <c:f>label 1</c:f>
              <c:strCache>
                <c:ptCount val="1"/>
                <c:pt idx="0">
                  <c:v>Ранено</c:v>
                </c:pt>
              </c:strCache>
            </c:strRef>
          </c:tx>
          <c:spPr>
            <a:solidFill>
              <a:srgbClr val="ed7d31"/>
            </a:solidFill>
            <a:ln>
              <a:noFill/>
            </a:ln>
          </c:spPr>
          <c:invertIfNegative val="0"/>
          <c:dLbls>
            <c:numFmt formatCode="General" sourceLinked="1"/>
            <c:dLblPos val="outEnd"/>
            <c:showLegendKey val="0"/>
            <c:showVal val="1"/>
            <c:showCatName val="0"/>
            <c:showSerName val="0"/>
            <c:showPercent val="0"/>
            <c:showLeaderLines val="0"/>
          </c:dLbls>
          <c:cat>
            <c:strRef>
              <c:f>categories</c:f>
              <c:strCache>
                <c:ptCount val="7"/>
                <c:pt idx="0">
                  <c:v>понедельник</c:v>
                </c:pt>
                <c:pt idx="1">
                  <c:v>вторник</c:v>
                </c:pt>
                <c:pt idx="2">
                  <c:v>среда</c:v>
                </c:pt>
                <c:pt idx="3">
                  <c:v>четверг</c:v>
                </c:pt>
                <c:pt idx="4">
                  <c:v>пятница</c:v>
                </c:pt>
                <c:pt idx="5">
                  <c:v>суббота</c:v>
                </c:pt>
                <c:pt idx="6">
                  <c:v>воскресенье</c:v>
                </c:pt>
              </c:strCache>
            </c:strRef>
          </c:cat>
          <c:val>
            <c:numRef>
              <c:f>1</c:f>
              <c:numCache>
                <c:formatCode>General</c:formatCode>
                <c:ptCount val="7"/>
                <c:pt idx="0">
                  <c:v>11</c:v>
                </c:pt>
                <c:pt idx="1">
                  <c:v>10</c:v>
                </c:pt>
                <c:pt idx="2">
                  <c:v>7</c:v>
                </c:pt>
                <c:pt idx="3">
                  <c:v>17</c:v>
                </c:pt>
                <c:pt idx="4">
                  <c:v>7</c:v>
                </c:pt>
                <c:pt idx="5">
                  <c:v>7</c:v>
                </c:pt>
                <c:pt idx="6">
                  <c:v>12</c:v>
                </c:pt>
              </c:numCache>
            </c:numRef>
          </c:val>
        </c:ser>
        <c:gapWidth val="219"/>
        <c:overlap val="0"/>
        <c:axId val="34203460"/>
        <c:axId val="42039484"/>
      </c:barChart>
      <c:catAx>
        <c:axId val="34203460"/>
        <c:scaling>
          <c:orientation val="minMax"/>
        </c:scaling>
        <c:delete val="0"/>
        <c:axPos val="b"/>
        <c:numFmt formatCode="DD/MM/YYYY" sourceLinked="1"/>
        <c:majorTickMark val="none"/>
        <c:minorTickMark val="none"/>
        <c:tickLblPos val="nextTo"/>
        <c:spPr>
          <a:ln w="9360">
            <a:solidFill>
              <a:srgbClr val="d9d9d9"/>
            </a:solidFill>
            <a:round/>
          </a:ln>
        </c:spPr>
        <c:txPr>
          <a:bodyPr/>
          <a:lstStyle/>
          <a:p>
            <a:pPr>
              <a:defRPr b="0" sz="900" spc="-1" strike="noStrike">
                <a:solidFill>
                  <a:srgbClr val="595959"/>
                </a:solidFill>
                <a:latin typeface="Calibri"/>
              </a:defRPr>
            </a:pPr>
          </a:p>
        </c:txPr>
        <c:crossAx val="42039484"/>
        <c:crosses val="autoZero"/>
        <c:auto val="1"/>
        <c:lblAlgn val="ctr"/>
        <c:lblOffset val="100"/>
      </c:catAx>
      <c:valAx>
        <c:axId val="42039484"/>
        <c:scaling>
          <c:orientation val="minMax"/>
        </c:scaling>
        <c:delete val="0"/>
        <c:axPos val="l"/>
        <c:majorGridlines>
          <c:spPr>
            <a:ln w="9360">
              <a:solidFill>
                <a:srgbClr val="d9d9d9"/>
              </a:solidFill>
              <a:round/>
            </a:ln>
          </c:spPr>
        </c:majorGridlines>
        <c:numFmt formatCode="General" sourceLinked="0"/>
        <c:majorTickMark val="none"/>
        <c:minorTickMark val="none"/>
        <c:tickLblPos val="nextTo"/>
        <c:spPr>
          <a:ln w="6480">
            <a:noFill/>
          </a:ln>
        </c:spPr>
        <c:txPr>
          <a:bodyPr/>
          <a:lstStyle/>
          <a:p>
            <a:pPr>
              <a:defRPr b="0" sz="900" spc="-1" strike="noStrike">
                <a:solidFill>
                  <a:srgbClr val="595959"/>
                </a:solidFill>
                <a:latin typeface="Calibri"/>
              </a:defRPr>
            </a:pPr>
          </a:p>
        </c:txPr>
        <c:crossAx val="34203460"/>
        <c:crosses val="autoZero"/>
      </c:valAx>
      <c:spPr>
        <a:noFill/>
        <a:ln>
          <a:noFill/>
        </a:ln>
      </c:spPr>
    </c:plotArea>
    <c:legend>
      <c:legendPos val="b"/>
      <c:overlay val="0"/>
      <c:spPr>
        <a:noFill/>
        <a:ln>
          <a:noFill/>
        </a:ln>
      </c:spPr>
      <c:txPr>
        <a:bodyPr/>
        <a:lstStyle/>
        <a:p>
          <a:pPr>
            <a:defRPr b="0" sz="900" spc="-1" strike="noStrike">
              <a:solidFill>
                <a:srgbClr val="595959"/>
              </a:solidFill>
              <a:latin typeface="Calibri"/>
            </a:defRPr>
          </a:pPr>
        </a:p>
      </c:txPr>
    </c:legend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title>
      <c:tx>
        <c:rich>
          <a:bodyPr rot="0"/>
          <a:lstStyle/>
          <a:p>
            <a:pPr>
              <a:defRPr b="0" sz="1400" spc="-1" strike="noStrike">
                <a:solidFill>
                  <a:srgbClr val="595959"/>
                </a:solidFill>
                <a:latin typeface="Calibri"/>
              </a:defRPr>
            </a:pPr>
            <a:r>
              <a:rPr b="0" sz="1400" spc="-1" strike="noStrike">
                <a:solidFill>
                  <a:srgbClr val="595959"/>
                </a:solidFill>
                <a:latin typeface="Calibri"/>
              </a:rPr>
              <a:t>Пассажиры</a:t>
            </a:r>
          </a:p>
        </c:rich>
      </c:tx>
      <c:overlay val="0"/>
    </c:title>
    <c:autoTitleDeleted val="0"/>
    <c:plotArea>
      <c:doughnutChart>
        <c:varyColors val="1"/>
        <c:ser>
          <c:idx val="0"/>
          <c:order val="0"/>
          <c:tx>
            <c:strRef>
              <c:f>label 0</c:f>
              <c:strCache>
                <c:ptCount val="1"/>
                <c:pt idx="0">
                  <c:v>Пассажиры</c:v>
                </c:pt>
              </c:strCache>
            </c:strRef>
          </c:tx>
          <c:spPr>
            <a:solidFill>
              <a:srgbClr val="5b9bd5"/>
            </a:solidFill>
            <a:ln>
              <a:noFill/>
            </a:ln>
          </c:spPr>
          <c:explosion val="0"/>
          <c:dPt>
            <c:idx val="0"/>
            <c:spPr>
              <a:solidFill>
                <a:srgbClr val="ed7d31"/>
              </a:solidFill>
              <a:ln w="19080">
                <a:solidFill>
                  <a:srgbClr val="ffffff"/>
                </a:solidFill>
                <a:round/>
              </a:ln>
            </c:spPr>
          </c:dPt>
          <c:dPt>
            <c:idx val="1"/>
            <c:spPr>
              <a:solidFill>
                <a:srgbClr val="ffc000"/>
              </a:solidFill>
              <a:ln w="19080">
                <a:solidFill>
                  <a:srgbClr val="ffffff"/>
                </a:solidFill>
                <a:round/>
              </a:ln>
            </c:spPr>
          </c:dPt>
          <c:dLbls>
            <c:numFmt formatCode="General" sourceLinked="1"/>
            <c:dLbl>
              <c:idx val="0"/>
              <c:showLegendKey val="0"/>
              <c:showVal val="0"/>
              <c:showCatName val="0"/>
              <c:showSerName val="0"/>
              <c:showPercent val="1"/>
            </c:dLbl>
            <c:dLbl>
              <c:idx val="1"/>
              <c:showLegendKey val="0"/>
              <c:showVal val="0"/>
              <c:showCatName val="0"/>
              <c:showSerName val="0"/>
              <c:showPercent val="1"/>
            </c:dLbl>
            <c:showLegendKey val="0"/>
            <c:showVal val="0"/>
            <c:showCatName val="0"/>
            <c:showSerName val="0"/>
            <c:showPercent val="1"/>
            <c:showLeaderLines val="0"/>
          </c:dLbls>
          <c:cat>
            <c:strRef>
              <c:f>categories</c:f>
              <c:strCache>
                <c:ptCount val="2"/>
                <c:pt idx="0">
                  <c:v>Перевозились с нарушением ПДД РФ</c:v>
                </c:pt>
                <c:pt idx="1">
                  <c:v>Перевозились без нарушений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2"/>
                <c:pt idx="0">
                  <c:v>4</c:v>
                </c:pt>
                <c:pt idx="1">
                  <c:v>44</c:v>
                </c:pt>
              </c:numCache>
            </c:numRef>
          </c:val>
        </c:ser>
        <c:firstSliceAng val="0"/>
        <c:holeSize val="50"/>
      </c:doughnutChart>
      <c:spPr>
        <a:noFill/>
        <a:ln>
          <a:noFill/>
        </a:ln>
      </c:spPr>
    </c:plotArea>
    <c:legend>
      <c:legendPos val="b"/>
      <c:overlay val="0"/>
      <c:spPr>
        <a:noFill/>
        <a:ln>
          <a:noFill/>
        </a:ln>
      </c:spPr>
      <c:txPr>
        <a:bodyPr/>
        <a:lstStyle/>
        <a:p>
          <a:pPr>
            <a:defRPr b="0" sz="900" spc="-1" strike="noStrike">
              <a:solidFill>
                <a:srgbClr val="595959"/>
              </a:solidFill>
              <a:latin typeface="Calibri"/>
            </a:defRPr>
          </a:pPr>
        </a:p>
      </c:txPr>
    </c:legend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title>
      <c:tx>
        <c:rich>
          <a:bodyPr rot="0"/>
          <a:lstStyle/>
          <a:p>
            <a:pPr>
              <a:defRPr b="0" sz="1400" spc="-1" strike="noStrike">
                <a:solidFill>
                  <a:srgbClr val="595959"/>
                </a:solidFill>
                <a:latin typeface="Calibri"/>
              </a:defRPr>
            </a:pPr>
            <a:r>
              <a:rPr b="0" sz="1400" spc="-1" strike="noStrike">
                <a:solidFill>
                  <a:srgbClr val="595959"/>
                </a:solidFill>
                <a:latin typeface="Calibri"/>
              </a:rPr>
              <a:t>Расположение детей в транспортном средстве</a:t>
            </a:r>
          </a:p>
        </c:rich>
      </c:tx>
      <c:overlay val="0"/>
    </c:title>
    <c:autoTitleDeleted val="0"/>
    <c:plotArea>
      <c:pieChart>
        <c:varyColors val="1"/>
        <c:ser>
          <c:idx val="0"/>
          <c:order val="0"/>
          <c:tx>
            <c:strRef>
              <c:f>label 0</c:f>
              <c:strCache>
                <c:ptCount val="1"/>
                <c:pt idx="0">
                  <c:v>Расположение детей в транспортном средстве</c:v>
                </c:pt>
              </c:strCache>
            </c:strRef>
          </c:tx>
          <c:spPr>
            <a:solidFill>
              <a:srgbClr val="5b9bd5"/>
            </a:solidFill>
            <a:ln>
              <a:noFill/>
            </a:ln>
          </c:spPr>
          <c:explosion val="0"/>
          <c:dPt>
            <c:idx val="0"/>
            <c:spPr>
              <a:solidFill>
                <a:srgbClr val="5b9bd5"/>
              </a:solidFill>
              <a:ln w="19080">
                <a:solidFill>
                  <a:srgbClr val="ffffff"/>
                </a:solidFill>
                <a:round/>
              </a:ln>
            </c:spPr>
          </c:dPt>
          <c:dPt>
            <c:idx val="1"/>
            <c:spPr>
              <a:solidFill>
                <a:srgbClr val="ed7d31"/>
              </a:solidFill>
              <a:ln w="19080">
                <a:solidFill>
                  <a:srgbClr val="ffffff"/>
                </a:solidFill>
                <a:round/>
              </a:ln>
            </c:spPr>
          </c:dPt>
          <c:dPt>
            <c:idx val="2"/>
            <c:spPr>
              <a:solidFill>
                <a:srgbClr val="a5a5a5"/>
              </a:solidFill>
              <a:ln w="19080">
                <a:solidFill>
                  <a:srgbClr val="ffffff"/>
                </a:solidFill>
                <a:round/>
              </a:ln>
            </c:spPr>
          </c:dPt>
          <c:dPt>
            <c:idx val="3"/>
            <c:spPr>
              <a:solidFill>
                <a:srgbClr val="ffc000"/>
              </a:solidFill>
              <a:ln w="19080">
                <a:solidFill>
                  <a:srgbClr val="ffffff"/>
                </a:solidFill>
                <a:round/>
              </a:ln>
            </c:spPr>
          </c:dPt>
          <c:dLbls>
            <c:numFmt formatCode="General" sourceLinked="1"/>
            <c:dLbl>
              <c:idx val="0"/>
              <c:dLblPos val="bestFit"/>
              <c:showLegendKey val="0"/>
              <c:showVal val="1"/>
              <c:showCatName val="0"/>
              <c:showSerName val="0"/>
              <c:showPercent val="0"/>
            </c:dLbl>
            <c:dLbl>
              <c:idx val="1"/>
              <c:dLblPos val="bestFit"/>
              <c:showLegendKey val="0"/>
              <c:showVal val="1"/>
              <c:showCatName val="0"/>
              <c:showSerName val="0"/>
              <c:showPercent val="0"/>
            </c:dLbl>
            <c:dLbl>
              <c:idx val="2"/>
              <c:dLblPos val="bestFit"/>
              <c:showLegendKey val="0"/>
              <c:showVal val="1"/>
              <c:showCatName val="0"/>
              <c:showSerName val="0"/>
              <c:showPercent val="0"/>
            </c:dLbl>
            <c:dLbl>
              <c:idx val="3"/>
              <c:dLblPos val="bestFit"/>
              <c:showLegendKey val="0"/>
              <c:showVal val="1"/>
              <c:showCatName val="0"/>
              <c:showSerName val="0"/>
              <c:showPercent val="0"/>
            </c:dLbl>
            <c:dLblPos val="bestFit"/>
            <c:showLegendKey val="0"/>
            <c:showVal val="1"/>
            <c:showCatName val="0"/>
            <c:showSerName val="0"/>
            <c:showPercent val="0"/>
            <c:showLeaderLines val="0"/>
          </c:dLbls>
          <c:cat>
            <c:strRef>
              <c:f>categories</c:f>
              <c:strCache>
                <c:ptCount val="4"/>
                <c:pt idx="0">
                  <c:v>сзади справа</c:v>
                </c:pt>
                <c:pt idx="1">
                  <c:v>сзади слева</c:v>
                </c:pt>
                <c:pt idx="2">
                  <c:v>сзади посередине</c:v>
                </c:pt>
                <c:pt idx="3">
                  <c:v>на переднем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4"/>
                <c:pt idx="0">
                  <c:v>24</c:v>
                </c:pt>
                <c:pt idx="1">
                  <c:v>16</c:v>
                </c:pt>
                <c:pt idx="2">
                  <c:v>3</c:v>
                </c:pt>
                <c:pt idx="3">
                  <c:v>3</c:v>
                </c:pt>
              </c:numCache>
            </c:numRef>
          </c:val>
        </c:ser>
        <c:firstSliceAng val="0"/>
      </c:pieChart>
      <c:spPr>
        <a:noFill/>
        <a:ln>
          <a:noFill/>
        </a:ln>
      </c:spPr>
    </c:plotArea>
    <c:legend>
      <c:legendPos val="b"/>
      <c:overlay val="0"/>
      <c:spPr>
        <a:noFill/>
        <a:ln>
          <a:noFill/>
        </a:ln>
      </c:spPr>
      <c:txPr>
        <a:bodyPr/>
        <a:lstStyle/>
        <a:p>
          <a:pPr>
            <a:defRPr b="0" sz="900" spc="-1" strike="noStrike">
              <a:solidFill>
                <a:srgbClr val="595959"/>
              </a:solidFill>
              <a:latin typeface="Calibri"/>
            </a:defRPr>
          </a:pPr>
        </a:p>
      </c:txPr>
    </c:legend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title>
      <c:tx>
        <c:rich>
          <a:bodyPr rot="0"/>
          <a:lstStyle/>
          <a:p>
            <a:pPr>
              <a:defRPr b="0" sz="1400" spc="-1" strike="noStrike">
                <a:solidFill>
                  <a:srgbClr val="595959"/>
                </a:solidFill>
                <a:latin typeface="Calibri"/>
              </a:defRPr>
            </a:pPr>
            <a:r>
              <a:rPr b="0" sz="1400" spc="-1" strike="noStrike">
                <a:solidFill>
                  <a:srgbClr val="595959"/>
                </a:solidFill>
                <a:latin typeface="Calibri"/>
              </a:rPr>
              <a:t>ДТП по видам</a:t>
            </a:r>
          </a:p>
        </c:rich>
      </c:tx>
      <c:overlay val="0"/>
    </c:title>
    <c:autoTitleDeleted val="0"/>
    <c:view3D>
      <c:rotX val="30"/>
      <c:rotY val="0"/>
      <c:rAngAx val="0"/>
      <c:perspective val="30"/>
    </c:view3D>
    <c:floor>
      <c:spPr>
        <a:solidFill>
          <a:srgbClr val="d9d9d9"/>
        </a:solidFill>
        <a:ln>
          <a:noFill/>
        </a:ln>
      </c:spPr>
    </c:floor>
    <c:sideWall>
      <c:spPr>
        <a:solidFill>
          <a:srgbClr val="d9d9d9"/>
        </a:solidFill>
        <a:ln>
          <a:noFill/>
        </a:ln>
      </c:spPr>
    </c:sideWall>
    <c:backWall>
      <c:spPr>
        <a:solidFill>
          <a:srgbClr val="d9d9d9"/>
        </a:solidFill>
        <a:ln>
          <a:noFill/>
        </a:ln>
      </c:spPr>
    </c:backWall>
    <c:plotArea>
      <c:pie3DChart>
        <c:varyColors val="1"/>
        <c:ser>
          <c:idx val="0"/>
          <c:order val="0"/>
          <c:tx>
            <c:strRef>
              <c:f>label 0</c:f>
              <c:strCache>
                <c:ptCount val="1"/>
                <c:pt idx="0">
                  <c:v>ДТП по видам</c:v>
                </c:pt>
              </c:strCache>
            </c:strRef>
          </c:tx>
          <c:spPr>
            <a:solidFill>
              <a:srgbClr val="5b9bd5"/>
            </a:solidFill>
            <a:ln>
              <a:noFill/>
            </a:ln>
          </c:spPr>
          <c:explosion val="0"/>
          <c:dPt>
            <c:idx val="0"/>
            <c:spPr>
              <a:solidFill>
                <a:srgbClr val="5b9bd5"/>
              </a:solidFill>
              <a:ln w="25560">
                <a:solidFill>
                  <a:srgbClr val="ffffff"/>
                </a:solidFill>
                <a:round/>
              </a:ln>
            </c:spPr>
          </c:dPt>
          <c:dPt>
            <c:idx val="1"/>
            <c:spPr>
              <a:solidFill>
                <a:srgbClr val="ed7d31"/>
              </a:solidFill>
              <a:ln w="25560">
                <a:solidFill>
                  <a:srgbClr val="ffffff"/>
                </a:solidFill>
                <a:round/>
              </a:ln>
            </c:spPr>
          </c:dPt>
          <c:dPt>
            <c:idx val="2"/>
            <c:spPr>
              <a:solidFill>
                <a:srgbClr val="a5a5a5"/>
              </a:solidFill>
              <a:ln w="25560">
                <a:solidFill>
                  <a:srgbClr val="ffffff"/>
                </a:solidFill>
                <a:round/>
              </a:ln>
            </c:spPr>
          </c:dPt>
          <c:dPt>
            <c:idx val="3"/>
            <c:spPr>
              <a:solidFill>
                <a:srgbClr val="ffc000"/>
              </a:solidFill>
              <a:ln w="25560">
                <a:solidFill>
                  <a:srgbClr val="ffffff"/>
                </a:solidFill>
                <a:round/>
              </a:ln>
            </c:spPr>
          </c:dPt>
          <c:dLbls>
            <c:numFmt formatCode="General" sourceLinked="1"/>
            <c:dLbl>
              <c:idx val="0"/>
              <c:dLblPos val="bestFit"/>
              <c:showLegendKey val="0"/>
              <c:showVal val="1"/>
              <c:showCatName val="1"/>
              <c:showSerName val="0"/>
              <c:showPercent val="0"/>
            </c:dLbl>
            <c:dLbl>
              <c:idx val="1"/>
              <c:dLblPos val="bestFit"/>
              <c:showLegendKey val="0"/>
              <c:showVal val="1"/>
              <c:showCatName val="1"/>
              <c:showSerName val="0"/>
              <c:showPercent val="0"/>
            </c:dLbl>
            <c:dLbl>
              <c:idx val="2"/>
              <c:dLblPos val="bestFit"/>
              <c:showLegendKey val="0"/>
              <c:showVal val="1"/>
              <c:showCatName val="1"/>
              <c:showSerName val="0"/>
              <c:showPercent val="0"/>
            </c:dLbl>
            <c:dLbl>
              <c:idx val="3"/>
              <c:dLblPos val="bestFit"/>
              <c:showLegendKey val="0"/>
              <c:showVal val="1"/>
              <c:showCatName val="1"/>
              <c:showSerName val="0"/>
              <c:showPercent val="0"/>
            </c:dLbl>
            <c:dLblPos val="bestFit"/>
            <c:showLegendKey val="0"/>
            <c:showVal val="1"/>
            <c:showCatName val="1"/>
            <c:showSerName val="0"/>
            <c:showPercent val="0"/>
            <c:showLeaderLines val="0"/>
          </c:dLbls>
          <c:cat>
            <c:strRef>
              <c:f>categories</c:f>
              <c:strCache>
                <c:ptCount val="4"/>
                <c:pt idx="0">
                  <c:v>Столкновения</c:v>
                </c:pt>
                <c:pt idx="1">
                  <c:v>Наезд на пешехода</c:v>
                </c:pt>
                <c:pt idx="2">
                  <c:v>Наезд на стоящее ТС</c:v>
                </c:pt>
                <c:pt idx="3">
                  <c:v>Съезд с дороги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4"/>
                <c:pt idx="0">
                  <c:v>35</c:v>
                </c:pt>
                <c:pt idx="1">
                  <c:v>22</c:v>
                </c:pt>
                <c:pt idx="2">
                  <c:v>1</c:v>
                </c:pt>
                <c:pt idx="3">
                  <c:v>1</c:v>
                </c:pt>
              </c:numCache>
            </c:numRef>
          </c:val>
        </c:ser>
      </c:pie3DChart>
    </c:plotArea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title>
      <c:tx>
        <c:rich>
          <a:bodyPr rot="0"/>
          <a:lstStyle/>
          <a:p>
            <a:pPr>
              <a:defRPr b="0" sz="1400" spc="-1" strike="noStrike">
                <a:solidFill>
                  <a:srgbClr val="595959"/>
                </a:solidFill>
                <a:latin typeface="Calibri"/>
              </a:defRPr>
            </a:pPr>
            <a:r>
              <a:rPr b="0" sz="1400" spc="-1" strike="noStrike">
                <a:solidFill>
                  <a:srgbClr val="595959"/>
                </a:solidFill>
                <a:latin typeface="Calibri"/>
              </a:rPr>
              <a:t>Распределение раненых в ДТП детей по значению дорог</a:t>
            </a:r>
          </a:p>
        </c:rich>
      </c:tx>
      <c:overlay val="0"/>
    </c:title>
    <c:autoTitleDeleted val="0"/>
    <c:plotArea>
      <c:barChart>
        <c:barDir val="bar"/>
        <c:grouping val="clustered"/>
        <c:varyColors val="0"/>
        <c:ser>
          <c:idx val="0"/>
          <c:order val="0"/>
          <c:tx>
            <c:strRef>
              <c:f>label 0</c:f>
              <c:strCache>
                <c:ptCount val="1"/>
                <c:pt idx="0">
                  <c:v>ранено в ДТП детей </c:v>
                </c:pt>
              </c:strCache>
            </c:strRef>
          </c:tx>
          <c:spPr>
            <a:solidFill>
              <a:srgbClr val="00b0f0"/>
            </a:solidFill>
            <a:ln>
              <a:noFill/>
            </a:ln>
          </c:spPr>
          <c:invertIfNegative val="0"/>
          <c:dLbls>
            <c:numFmt formatCode="General" sourceLinked="1"/>
            <c:dLblPos val="outEnd"/>
            <c:showLegendKey val="0"/>
            <c:showVal val="1"/>
            <c:showCatName val="0"/>
            <c:showSerName val="0"/>
            <c:showPercent val="0"/>
            <c:showLeaderLines val="0"/>
          </c:dLbls>
          <c:cat>
            <c:strRef>
              <c:f>categories</c:f>
              <c:strCache>
                <c:ptCount val="3"/>
                <c:pt idx="0">
                  <c:v>Федерального значения</c:v>
                </c:pt>
                <c:pt idx="1">
                  <c:v>Регионального значения</c:v>
                </c:pt>
                <c:pt idx="2">
                  <c:v>Местного значения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3"/>
                <c:pt idx="0">
                  <c:v>6</c:v>
                </c:pt>
                <c:pt idx="1">
                  <c:v>19</c:v>
                </c:pt>
                <c:pt idx="2">
                  <c:v>43</c:v>
                </c:pt>
              </c:numCache>
            </c:numRef>
          </c:val>
        </c:ser>
        <c:gapWidth val="182"/>
        <c:overlap val="0"/>
        <c:axId val="29304589"/>
        <c:axId val="93508255"/>
      </c:barChart>
      <c:catAx>
        <c:axId val="29304589"/>
        <c:scaling>
          <c:orientation val="minMax"/>
        </c:scaling>
        <c:delete val="0"/>
        <c:axPos val="b"/>
        <c:numFmt formatCode="DD/MM/YYYY" sourceLinked="1"/>
        <c:majorTickMark val="none"/>
        <c:minorTickMark val="none"/>
        <c:tickLblPos val="nextTo"/>
        <c:spPr>
          <a:ln w="9360">
            <a:solidFill>
              <a:srgbClr val="d9d9d9"/>
            </a:solidFill>
            <a:round/>
          </a:ln>
        </c:spPr>
        <c:txPr>
          <a:bodyPr/>
          <a:lstStyle/>
          <a:p>
            <a:pPr>
              <a:defRPr b="0" sz="900" spc="-1" strike="noStrike">
                <a:solidFill>
                  <a:srgbClr val="595959"/>
                </a:solidFill>
                <a:latin typeface="Calibri"/>
              </a:defRPr>
            </a:pPr>
          </a:p>
        </c:txPr>
        <c:crossAx val="93508255"/>
        <c:crosses val="autoZero"/>
        <c:auto val="1"/>
        <c:lblAlgn val="ctr"/>
        <c:lblOffset val="100"/>
      </c:catAx>
      <c:valAx>
        <c:axId val="93508255"/>
        <c:scaling>
          <c:orientation val="minMax"/>
        </c:scaling>
        <c:delete val="0"/>
        <c:axPos val="l"/>
        <c:majorGridlines>
          <c:spPr>
            <a:ln w="9360">
              <a:solidFill>
                <a:srgbClr val="d9d9d9"/>
              </a:solidFill>
              <a:round/>
            </a:ln>
          </c:spPr>
        </c:majorGridlines>
        <c:numFmt formatCode="General" sourceLinked="0"/>
        <c:majorTickMark val="none"/>
        <c:minorTickMark val="none"/>
        <c:tickLblPos val="nextTo"/>
        <c:spPr>
          <a:ln w="6480">
            <a:noFill/>
          </a:ln>
        </c:spPr>
        <c:txPr>
          <a:bodyPr/>
          <a:lstStyle/>
          <a:p>
            <a:pPr>
              <a:defRPr b="0" sz="900" spc="-1" strike="noStrike">
                <a:solidFill>
                  <a:srgbClr val="595959"/>
                </a:solidFill>
                <a:latin typeface="Calibri"/>
              </a:defRPr>
            </a:pPr>
          </a:p>
        </c:txPr>
        <c:crossAx val="29304589"/>
        <c:crosses val="autoZero"/>
      </c:valAx>
      <c:spPr>
        <a:noFill/>
        <a:ln>
          <a:noFill/>
        </a:ln>
      </c:spPr>
    </c:plotArea>
    <c:legend>
      <c:legendPos val="b"/>
      <c:overlay val="0"/>
      <c:spPr>
        <a:noFill/>
        <a:ln>
          <a:noFill/>
        </a:ln>
      </c:spPr>
      <c:txPr>
        <a:bodyPr/>
        <a:lstStyle/>
        <a:p>
          <a:pPr>
            <a:defRPr b="0" sz="900" spc="-1" strike="noStrike">
              <a:solidFill>
                <a:srgbClr val="595959"/>
              </a:solidFill>
              <a:latin typeface="Calibri"/>
            </a:defRPr>
          </a:pPr>
        </a:p>
      </c:txPr>
    </c:legend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title>
      <c:tx>
        <c:rich>
          <a:bodyPr rot="0"/>
          <a:lstStyle/>
          <a:p>
            <a:pPr>
              <a:defRPr b="0" sz="1400" spc="-1" strike="noStrike">
                <a:solidFill>
                  <a:srgbClr val="595959"/>
                </a:solidFill>
                <a:latin typeface="Calibri"/>
              </a:defRPr>
            </a:pPr>
            <a:r>
              <a:rPr b="0" sz="1400" spc="-1" strike="noStrike">
                <a:solidFill>
                  <a:srgbClr val="595959"/>
                </a:solidFill>
                <a:latin typeface="Calibri"/>
              </a:rPr>
              <a:t>ДТП на пешеходных переходах</a:t>
            </a:r>
          </a:p>
        </c:rich>
      </c:tx>
      <c:overlay val="0"/>
    </c:title>
    <c:autoTitleDeleted val="0"/>
    <c:plotArea>
      <c:pieChart>
        <c:varyColors val="1"/>
        <c:ser>
          <c:idx val="0"/>
          <c:order val="0"/>
          <c:tx>
            <c:strRef>
              <c:f>label 0</c:f>
              <c:strCache>
                <c:ptCount val="1"/>
                <c:pt idx="0">
                  <c:v>ДТП</c:v>
                </c:pt>
              </c:strCache>
            </c:strRef>
          </c:tx>
          <c:spPr>
            <a:solidFill>
              <a:srgbClr val="5b9bd5"/>
            </a:solidFill>
            <a:ln>
              <a:noFill/>
            </a:ln>
          </c:spPr>
          <c:explosion val="0"/>
          <c:dPt>
            <c:idx val="0"/>
            <c:spPr>
              <a:solidFill>
                <a:srgbClr val="70ad47"/>
              </a:solidFill>
              <a:ln w="19080">
                <a:solidFill>
                  <a:srgbClr val="ffffff"/>
                </a:solidFill>
                <a:round/>
              </a:ln>
            </c:spPr>
          </c:dPt>
          <c:dPt>
            <c:idx val="1"/>
            <c:spPr>
              <a:solidFill>
                <a:srgbClr val="4472c4"/>
              </a:solidFill>
              <a:ln w="19080">
                <a:solidFill>
                  <a:srgbClr val="ffffff"/>
                </a:solidFill>
                <a:round/>
              </a:ln>
            </c:spPr>
          </c:dPt>
          <c:dLbls>
            <c:numFmt formatCode="General" sourceLinked="1"/>
            <c:dLbl>
              <c:idx val="0"/>
              <c:dLblPos val="bestFit"/>
              <c:showLegendKey val="0"/>
              <c:showVal val="1"/>
              <c:showCatName val="0"/>
              <c:showSerName val="0"/>
              <c:showPercent val="0"/>
            </c:dLbl>
            <c:dLbl>
              <c:idx val="1"/>
              <c:dLblPos val="bestFit"/>
              <c:showLegendKey val="0"/>
              <c:showVal val="1"/>
              <c:showCatName val="0"/>
              <c:showSerName val="0"/>
              <c:showPercent val="0"/>
            </c:dLbl>
            <c:dLblPos val="bestFit"/>
            <c:showLegendKey val="0"/>
            <c:showVal val="1"/>
            <c:showCatName val="0"/>
            <c:showSerName val="0"/>
            <c:showPercent val="0"/>
            <c:showLeaderLines val="0"/>
          </c:dLbls>
          <c:cat>
            <c:strRef>
              <c:f>categories</c:f>
              <c:strCache>
                <c:ptCount val="2"/>
                <c:pt idx="0">
                  <c:v>нерегулируемый </c:v>
                </c:pt>
                <c:pt idx="1">
                  <c:v>регулируемый 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2"/>
                <c:pt idx="0">
                  <c:v>6</c:v>
                </c:pt>
                <c:pt idx="1">
                  <c:v>5</c:v>
                </c:pt>
              </c:numCache>
            </c:numRef>
          </c:val>
        </c:ser>
        <c:firstSliceAng val="0"/>
      </c:pieChart>
      <c:spPr>
        <a:noFill/>
        <a:ln>
          <a:noFill/>
        </a:ln>
      </c:spPr>
    </c:plotArea>
    <c:legend>
      <c:legendPos val="b"/>
      <c:overlay val="0"/>
      <c:spPr>
        <a:noFill/>
        <a:ln>
          <a:noFill/>
        </a:ln>
      </c:spPr>
      <c:txPr>
        <a:bodyPr/>
        <a:lstStyle/>
        <a:p>
          <a:pPr>
            <a:defRPr b="0" sz="900" spc="-1" strike="noStrike">
              <a:solidFill>
                <a:srgbClr val="595959"/>
              </a:solidFill>
              <a:latin typeface="Calibri"/>
            </a:defRPr>
          </a:pPr>
        </a:p>
      </c:txPr>
    </c:legend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title>
      <c:tx>
        <c:rich>
          <a:bodyPr rot="0"/>
          <a:lstStyle/>
          <a:p>
            <a:pPr>
              <a:defRPr b="0" sz="1400" spc="-1" strike="noStrike">
                <a:solidFill>
                  <a:srgbClr val="595959"/>
                </a:solidFill>
                <a:latin typeface="Calibri"/>
              </a:defRPr>
            </a:pPr>
            <a:r>
              <a:rPr b="0" sz="1400" spc="-1" strike="noStrike">
                <a:solidFill>
                  <a:srgbClr val="595959"/>
                </a:solidFill>
                <a:latin typeface="Calibri"/>
              </a:rPr>
              <a:t>ДТП по категориям участников</a:t>
            </a:r>
          </a:p>
        </c:rich>
      </c:tx>
      <c:overlay val="0"/>
    </c:title>
    <c:autoTitleDeleted val="0"/>
    <c:view3D>
      <c:rotX val="30"/>
      <c:rotY val="0"/>
      <c:rAngAx val="0"/>
      <c:perspective val="30"/>
    </c:view3D>
    <c:floor>
      <c:spPr>
        <a:solidFill>
          <a:srgbClr val="d9d9d9"/>
        </a:solidFill>
        <a:ln>
          <a:noFill/>
        </a:ln>
      </c:spPr>
    </c:floor>
    <c:sideWall>
      <c:spPr>
        <a:solidFill>
          <a:srgbClr val="d9d9d9"/>
        </a:solidFill>
        <a:ln>
          <a:noFill/>
        </a:ln>
      </c:spPr>
    </c:sideWall>
    <c:backWall>
      <c:spPr>
        <a:solidFill>
          <a:srgbClr val="d9d9d9"/>
        </a:solidFill>
        <a:ln>
          <a:noFill/>
        </a:ln>
      </c:spPr>
    </c:backWall>
    <c:plotArea>
      <c:pie3DChart>
        <c:varyColors val="1"/>
        <c:ser>
          <c:idx val="0"/>
          <c:order val="0"/>
          <c:tx>
            <c:strRef>
              <c:f>label 0</c:f>
              <c:strCache>
                <c:ptCount val="1"/>
                <c:pt idx="0">
                  <c:v>ДТП по категориям участников</c:v>
                </c:pt>
              </c:strCache>
            </c:strRef>
          </c:tx>
          <c:spPr>
            <a:solidFill>
              <a:srgbClr val="5b9bd5"/>
            </a:solidFill>
            <a:ln>
              <a:noFill/>
            </a:ln>
          </c:spPr>
          <c:explosion val="0"/>
          <c:dPt>
            <c:idx val="0"/>
            <c:spPr>
              <a:solidFill>
                <a:srgbClr val="5b9bd5"/>
              </a:solidFill>
              <a:ln w="25560">
                <a:solidFill>
                  <a:srgbClr val="ffffff"/>
                </a:solidFill>
                <a:round/>
              </a:ln>
            </c:spPr>
          </c:dPt>
          <c:dPt>
            <c:idx val="1"/>
            <c:spPr>
              <a:solidFill>
                <a:srgbClr val="ed7d31"/>
              </a:solidFill>
              <a:ln w="25560">
                <a:solidFill>
                  <a:srgbClr val="ffffff"/>
                </a:solidFill>
                <a:round/>
              </a:ln>
            </c:spPr>
          </c:dPt>
          <c:dLbls>
            <c:numFmt formatCode="General" sourceLinked="1"/>
            <c:dLbl>
              <c:idx val="0"/>
              <c:dLblPos val="bestFit"/>
              <c:showLegendKey val="0"/>
              <c:showVal val="1"/>
              <c:showCatName val="1"/>
              <c:showSerName val="0"/>
              <c:showPercent val="0"/>
            </c:dLbl>
            <c:dLbl>
              <c:idx val="1"/>
              <c:dLblPos val="bestFit"/>
              <c:showLegendKey val="0"/>
              <c:showVal val="1"/>
              <c:showCatName val="1"/>
              <c:showSerName val="0"/>
              <c:showPercent val="0"/>
            </c:dLbl>
            <c:dLblPos val="bestFit"/>
            <c:showLegendKey val="0"/>
            <c:showVal val="1"/>
            <c:showCatName val="1"/>
            <c:showSerName val="0"/>
            <c:showPercent val="0"/>
            <c:showLeaderLines val="0"/>
          </c:dLbls>
          <c:cat>
            <c:strRef>
              <c:f>categories</c:f>
              <c:strCache>
                <c:ptCount val="2"/>
                <c:pt idx="0">
                  <c:v>Пассажиры</c:v>
                </c:pt>
                <c:pt idx="1">
                  <c:v>Пешеходы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2"/>
                <c:pt idx="0">
                  <c:v>37</c:v>
                </c:pt>
                <c:pt idx="1">
                  <c:v>22</c:v>
                </c:pt>
              </c:numCache>
            </c:numRef>
          </c:val>
        </c:ser>
      </c:pie3DChart>
    </c:plotArea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en-US"/>
  <c:roundedCorners val="0"/>
  <c:chart>
    <c:title>
      <c:tx>
        <c:rich>
          <a:bodyPr rot="0"/>
          <a:lstStyle/>
          <a:p>
            <a:pPr>
              <a:defRPr b="0" sz="1400" spc="-1" strike="noStrike">
                <a:solidFill>
                  <a:srgbClr val="595959"/>
                </a:solidFill>
                <a:latin typeface="Calibri"/>
              </a:defRPr>
            </a:pPr>
            <a:r>
              <a:rPr b="0" sz="1400" spc="-1" strike="noStrike">
                <a:solidFill>
                  <a:srgbClr val="595959"/>
                </a:solidFill>
                <a:latin typeface="Calibri"/>
              </a:rPr>
              <a:t>ДТП по собственной неосторожности детей</a:t>
            </a:r>
          </a:p>
        </c:rich>
      </c:tx>
      <c:overlay val="0"/>
    </c:title>
    <c:autoTitleDeleted val="0"/>
    <c:plotArea>
      <c:pieChart>
        <c:varyColors val="1"/>
        <c:ser>
          <c:idx val="0"/>
          <c:order val="0"/>
          <c:tx>
            <c:strRef>
              <c:f>label 0</c:f>
              <c:strCache>
                <c:ptCount val="1"/>
                <c:pt idx="0">
                  <c:v>ДТП</c:v>
                </c:pt>
              </c:strCache>
            </c:strRef>
          </c:tx>
          <c:spPr>
            <a:solidFill>
              <a:srgbClr val="70ad47"/>
            </a:solidFill>
            <a:ln>
              <a:noFill/>
            </a:ln>
          </c:spPr>
          <c:explosion val="0"/>
          <c:dPt>
            <c:idx val="0"/>
            <c:spPr>
              <a:solidFill>
                <a:srgbClr val="548335"/>
              </a:solidFill>
              <a:ln w="19080">
                <a:solidFill>
                  <a:srgbClr val="ffffff"/>
                </a:solidFill>
                <a:round/>
              </a:ln>
            </c:spPr>
          </c:dPt>
          <c:dPt>
            <c:idx val="1"/>
            <c:spPr>
              <a:solidFill>
                <a:srgbClr val="63993f"/>
              </a:solidFill>
              <a:ln w="19080">
                <a:solidFill>
                  <a:srgbClr val="ffffff"/>
                </a:solidFill>
                <a:round/>
              </a:ln>
            </c:spPr>
          </c:dPt>
          <c:dPt>
            <c:idx val="2"/>
            <c:spPr>
              <a:solidFill>
                <a:srgbClr val="70ad47"/>
              </a:solidFill>
              <a:ln w="19080">
                <a:solidFill>
                  <a:srgbClr val="ffffff"/>
                </a:solidFill>
                <a:round/>
              </a:ln>
            </c:spPr>
          </c:dPt>
          <c:dPt>
            <c:idx val="3"/>
            <c:spPr>
              <a:solidFill>
                <a:srgbClr val="a0c390"/>
              </a:solidFill>
              <a:ln w="19080">
                <a:solidFill>
                  <a:srgbClr val="ffffff"/>
                </a:solidFill>
                <a:round/>
              </a:ln>
            </c:spPr>
          </c:dPt>
          <c:dPt>
            <c:idx val="4"/>
            <c:spPr>
              <a:solidFill>
                <a:srgbClr val="c3d7ba"/>
              </a:solidFill>
              <a:ln w="19080">
                <a:solidFill>
                  <a:srgbClr val="ffffff"/>
                </a:solidFill>
                <a:round/>
              </a:ln>
            </c:spPr>
          </c:dPt>
          <c:dLbls>
            <c:numFmt formatCode="General" sourceLinked="1"/>
            <c:dLbl>
              <c:idx val="0"/>
              <c:dLblPos val="bestFit"/>
              <c:showLegendKey val="0"/>
              <c:showVal val="1"/>
              <c:showCatName val="0"/>
              <c:showSerName val="0"/>
              <c:showPercent val="0"/>
            </c:dLbl>
            <c:dLbl>
              <c:idx val="1"/>
              <c:dLblPos val="bestFit"/>
              <c:showLegendKey val="0"/>
              <c:showVal val="1"/>
              <c:showCatName val="0"/>
              <c:showSerName val="0"/>
              <c:showPercent val="0"/>
            </c:dLbl>
            <c:dLbl>
              <c:idx val="2"/>
              <c:dLblPos val="bestFit"/>
              <c:showLegendKey val="0"/>
              <c:showVal val="1"/>
              <c:showCatName val="0"/>
              <c:showSerName val="0"/>
              <c:showPercent val="0"/>
            </c:dLbl>
            <c:dLbl>
              <c:idx val="3"/>
              <c:dLblPos val="bestFit"/>
              <c:showLegendKey val="0"/>
              <c:showVal val="1"/>
              <c:showCatName val="0"/>
              <c:showSerName val="0"/>
              <c:showPercent val="0"/>
            </c:dLbl>
            <c:dLbl>
              <c:idx val="4"/>
              <c:dLblPos val="bestFit"/>
              <c:showLegendKey val="0"/>
              <c:showVal val="1"/>
              <c:showCatName val="0"/>
              <c:showSerName val="0"/>
              <c:showPercent val="0"/>
            </c:dLbl>
            <c:dLblPos val="bestFit"/>
            <c:showLegendKey val="0"/>
            <c:showVal val="1"/>
            <c:showCatName val="0"/>
            <c:showSerName val="0"/>
            <c:showPercent val="0"/>
            <c:showLeaderLines val="0"/>
          </c:dLbls>
          <c:cat>
            <c:strRef>
              <c:f>categories</c:f>
              <c:strCache>
                <c:ptCount val="5"/>
                <c:pt idx="0">
                  <c:v>Качканар</c:v>
                </c:pt>
                <c:pt idx="1">
                  <c:v>Красноуфимск</c:v>
                </c:pt>
                <c:pt idx="2">
                  <c:v>Новолялинский р.</c:v>
                </c:pt>
                <c:pt idx="3">
                  <c:v>Ирбит</c:v>
                </c:pt>
                <c:pt idx="4">
                  <c:v>Екатеринбург</c:v>
                </c:pt>
              </c:strCache>
            </c:strRef>
          </c:cat>
          <c:val>
            <c:numRef>
              <c:f>0</c:f>
              <c:numCache>
                <c:formatCode>General</c:formatCode>
                <c:ptCount val="5"/>
                <c:pt idx="0">
                  <c:v>1</c:v>
                </c:pt>
                <c:pt idx="1">
                  <c:v>1</c:v>
                </c:pt>
                <c:pt idx="2">
                  <c:v>1</c:v>
                </c:pt>
                <c:pt idx="3">
                  <c:v>1</c:v>
                </c:pt>
                <c:pt idx="4">
                  <c:v>5</c:v>
                </c:pt>
              </c:numCache>
            </c:numRef>
          </c:val>
        </c:ser>
        <c:firstSliceAng val="0"/>
      </c:pieChart>
      <c:spPr>
        <a:noFill/>
        <a:ln>
          <a:noFill/>
        </a:ln>
      </c:spPr>
    </c:plotArea>
    <c:legend>
      <c:legendPos val="b"/>
      <c:overlay val="0"/>
      <c:spPr>
        <a:noFill/>
        <a:ln>
          <a:noFill/>
        </a:ln>
      </c:spPr>
      <c:txPr>
        <a:bodyPr/>
        <a:lstStyle/>
        <a:p>
          <a:pPr>
            <a:defRPr b="0" sz="900" spc="-1" strike="noStrike">
              <a:solidFill>
                <a:srgbClr val="595959"/>
              </a:solidFill>
              <a:latin typeface="Calibri"/>
            </a:defRPr>
          </a:pPr>
        </a:p>
      </c:txPr>
    </c:legend>
    <c:plotVisOnly val="1"/>
    <c:dispBlanksAs val="gap"/>
  </c:chart>
  <c:spPr>
    <a:solidFill>
      <a:srgbClr val="ffffff"/>
    </a:solidFill>
    <a:ln w="9360">
      <a:solidFill>
        <a:srgbClr val="d9d9d9"/>
      </a:solidFill>
      <a:round/>
    </a:ln>
  </c:sp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F25CD2-9D4E-4CC7-9804-6CD09F202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522</TotalTime>
  <Application>LibreOffice/6.0.5.2$Linux_X86_64 LibreOffice_project/00m0$Build-2</Application>
  <Pages>6</Pages>
  <Words>808</Words>
  <Characters>5121</Characters>
  <CharactersWithSpaces>5915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2020-03-19T07:29:00Z</dcterms:created>
  <dc:creator>Пользователь</dc:creator>
  <dc:description/>
  <dc:language>ru-RU</dc:language>
  <cp:lastModifiedBy/>
  <cp:lastPrinted>2020-03-18T13:27:00Z</cp:lastPrinted>
  <dcterms:modified xsi:type="dcterms:W3CDTF">2020-04-16T15:17:03Z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